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C9BD2">
      <w:pPr>
        <w:pStyle w:val="31"/>
        <w:jc w:val="center"/>
      </w:pPr>
      <w:r>
        <w:rPr>
          <w:rFonts w:ascii="Times New Roman" w:hAnsi="Times New Roman" w:eastAsia="宋体" w:cs="Times New Roman"/>
          <w:b/>
          <w:color w:val="1F4E79"/>
          <w:sz w:val="40"/>
        </w:rPr>
        <w:t>融序协同控制机制（FSCC）项目演示视频讲解稿</w:t>
      </w:r>
    </w:p>
    <w:p w14:paraId="153E04AC">
      <w:pPr>
        <w:jc w:val="center"/>
      </w:pPr>
      <w:r>
        <w:rPr>
          <w:rFonts w:ascii="Times New Roman" w:hAnsi="Times New Roman" w:eastAsia="宋体" w:cs="Times New Roman"/>
          <w:color w:val="5A5A5A"/>
          <w:sz w:val="24"/>
        </w:rPr>
        <w:t>建议时长：5—8分钟　|　适用画面：地图、流程图、仿真运行、指标对比</w:t>
      </w:r>
    </w:p>
    <w:p w14:paraId="4D514048">
      <w:pPr>
        <w:spacing w:after="120" w:line="324" w:lineRule="auto"/>
      </w:pPr>
      <w:r>
        <w:rPr>
          <w:rFonts w:ascii="Times New Roman" w:hAnsi="Times New Roman" w:eastAsia="宋体" w:cs="Times New Roman"/>
          <w:sz w:val="24"/>
        </w:rPr>
        <w:t>本讲解稿按照原赛题“仿真环境—协同算法—评估验证—实际场景展示”的要求组织，录制时可按照时间提示依次切换画面。</w:t>
      </w:r>
    </w:p>
    <w:p w14:paraId="4E2A9B0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一、开场与项目定位（约40秒）</w:t>
      </w:r>
    </w:p>
    <w:p w14:paraId="78546708">
      <w:pPr>
        <w:spacing w:before="80" w:after="80"/>
      </w:pPr>
      <w:r>
        <w:rPr>
          <w:rFonts w:ascii="Times New Roman" w:hAnsi="Times New Roman" w:eastAsia="宋体" w:cs="Times New Roman"/>
          <w:b/>
          <w:color w:val="1F4E79"/>
          <w:sz w:val="24"/>
        </w:rPr>
        <w:t>【画面提示】显示项目标题、雄安新区地图和20个路口总体范围。</w:t>
      </w:r>
    </w:p>
    <w:p w14:paraId="32E0CEE4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大家好，我们展示的是面向雄安新区“城市大脑”的车路云一体化协同管控算法与仿真平台。项目针对雄安新区路网密、路口间距短、交通流具有明显潮汐性以及相邻路口相互影响显著等特点，构建了一个从场景建模、状态采集、算法决策到指标评估的完整验证闭环。</w:t>
      </w:r>
    </w:p>
    <w:p w14:paraId="681D5B61">
      <w:pPr>
        <w:spacing w:after="120" w:line="324" w:lineRule="auto"/>
        <w:ind w:firstLine="43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按照赛题功能三赛道B的要求，我们首先完成了经典交通管控算法在雄安“窄路密网”场景中的适配、参数调优和性能评估；在这个硬性任务基础上，进一步提出融序协同控制机制，也就是Fusion-Sequence Cooperative Control，简称FSCC。FSCC把传统控制的稳定性、学习模型的迁移能力和多路口的时序协调能力组织到同一个可解释、可回退、可复算的控制框架中。</w:t>
      </w:r>
    </w:p>
    <w:p w14:paraId="3B98D96F">
      <w:pPr>
        <w:spacing w:after="120" w:line="324" w:lineRule="auto"/>
        <w:ind w:firstLine="432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4241800" cy="3301365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79AE">
      <w:pPr>
        <w:spacing w:after="120" w:line="324" w:lineRule="auto"/>
        <w:ind w:firstLine="432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color w:val="5A5A5A"/>
          <w:sz w:val="24"/>
        </w:rPr>
        <w:t>图1　雄安新区20个实际路口</w:t>
      </w:r>
    </w:p>
    <w:p w14:paraId="785AB11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二、平台总体框架（约50秒）</w:t>
      </w:r>
    </w:p>
    <w:p w14:paraId="66382EC9">
      <w:pPr>
        <w:spacing w:before="80" w:after="8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color w:val="1F4E79"/>
          <w:sz w:val="24"/>
        </w:rPr>
        <w:t>【画面提示】切换到平台架构图或项目报告中的总体架构画面，依次标出场景层、引擎层、采集层、算法层和结果层。</w:t>
      </w:r>
      <w:r>
        <w:rPr>
          <w:rFonts w:hint="eastAsia" w:ascii="Times New Roman" w:hAnsi="Times New Roman" w:cs="Times New Roman"/>
          <w:b/>
          <w:color w:val="1F4E79"/>
          <w:sz w:val="24"/>
          <w:lang w:val="en-US" w:eastAsia="zh-CN"/>
        </w:rPr>
        <w:t>(就是分别打开相关的程序文件夹，说一下代表什么）</w:t>
      </w:r>
    </w:p>
    <w:p w14:paraId="163CC1BD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平台由五个层次组成。场景层保存雄安新区20个路口的路网、道路连接、车道、信号方案和早高峰、平峰、晚高峰交通流；引擎层统一封装CityFlow和SUMO的启动、步进和关闭；采集层把车辆位置、车道需求、排队状态、当前相位和上下游负载编码为固定维度的观测；算法层通过统一插件接口加载固定配时、最大压力、TRANSYT风格控制以及FSCC；结果层保存metrics、trace和可视化仪表盘。</w:t>
      </w:r>
    </w:p>
    <w:p w14:paraId="184ACEB1">
      <w:pPr>
        <w:spacing w:after="120" w:line="324" w:lineRule="auto"/>
        <w:ind w:firstLine="432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这种分层结构的意义在于，算法不需要改动仿真主循环就可以替换，平台也可以在不改变算法接口的情况下切换仿真引擎。每次运行都保留场景版本、模型版本、随机种子、动作轨迹和指标结果，保证评委能够复现和追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70"/>
        <w:gridCol w:w="5538"/>
      </w:tblGrid>
      <w:tr w14:paraId="2E71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04" w:type="dxa"/>
          </w:tcPr>
          <w:p w14:paraId="664F8797">
            <w:pPr>
              <w:spacing w:after="120" w:line="324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2917190" cy="2099945"/>
                  <wp:effectExtent l="0" t="0" r="6985" b="508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90" cy="209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4" w:type="dxa"/>
          </w:tcPr>
          <w:p w14:paraId="18612E3E">
            <w:pPr>
              <w:spacing w:after="120" w:line="324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3655695" cy="1341120"/>
                  <wp:effectExtent l="0" t="0" r="1905" b="190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695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238CC">
      <w:pPr>
        <w:spacing w:after="120" w:line="324" w:lineRule="auto"/>
        <w:ind w:firstLine="432"/>
        <w:jc w:val="center"/>
        <w:rPr>
          <w:rFonts w:hint="eastAsia" w:ascii="Times New Roman" w:hAnsi="Times New Roman" w:eastAsia="宋体" w:cs="Times New Roman"/>
          <w:color w:val="5A5A5A"/>
          <w:sz w:val="24"/>
          <w:lang w:val="en-US" w:eastAsia="zh-CN"/>
        </w:rPr>
      </w:pPr>
      <w:r>
        <w:br w:type="textWrapping"/>
      </w:r>
      <w:r>
        <w:rPr>
          <w:rFonts w:hint="eastAsia"/>
          <w:lang w:val="en-US" w:eastAsia="zh-CN"/>
        </w:rPr>
        <w:t>示例</w:t>
      </w:r>
    </w:p>
    <w:p w14:paraId="4F7896F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三、FSCC算法机制与闭环流程（约1分40秒）</w:t>
      </w:r>
    </w:p>
    <w:p w14:paraId="60512C0E">
      <w:pPr>
        <w:spacing w:before="80" w:after="80"/>
      </w:pPr>
      <w:r>
        <w:rPr>
          <w:rFonts w:ascii="Times New Roman" w:hAnsi="Times New Roman" w:eastAsia="宋体" w:cs="Times New Roman"/>
          <w:b/>
          <w:color w:val="1F4E79"/>
          <w:sz w:val="24"/>
        </w:rPr>
        <w:t>【画面提示】显示FSCC闭环决策流程图，沿主流程从上到下讲解，随后指向左右两个反馈分支。</w:t>
      </w:r>
    </w:p>
    <w:p w14:paraId="2B52E9F6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下面介绍项目的核心创新——融序协同控制机制FSCC。这里的“融”表示多类算法融合，“序”表示信号相位和路口之间的时序协调，“协同”表示局部路口决策与区域走廊控制之间的联动。</w:t>
      </w:r>
    </w:p>
    <w:p w14:paraId="28FE3D61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第一步，系统读取20个路口的实时状态，将12维车道需求、当前相位和上下游负载编码为统一观测。第二步，冻结的SACF（Static Action Calibration Framework，静态动作校准框架）基座根据当前状态生成可迁移动作先验。SACF参数在推理阶段不更新，因此它提供的是稳定的策略参考，而不是在新场景中无约束地重新学习。</w:t>
      </w:r>
    </w:p>
    <w:p w14:paraId="515ABCEE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第三步，SPCN（Structured Phase Competition Network，结构化相位竞争网络）对候选信号相位进行相位竞争建模。它不把每个相位当作完全独立的选项，而是显式考虑冲突相位之间的关系，输出一个受约束的局部修正价值，用来回答“当前路口是否需要立即偏向某个竞争相位”。</w:t>
      </w:r>
    </w:p>
    <w:p w14:paraId="0124007B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第四步，TRANSYT风格协调层依据共同周期、绿信比、路口拓扑偏移以及车辆到达波，生成走廊级的名义控制方案。它回答的是“相邻路口如何保持时序连续，减少车辆在路口之间反复停车”。</w:t>
      </w:r>
    </w:p>
    <w:p w14:paraId="2036B2E1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第五步，系统进行分层融合。TRANSYT动作作为名义方案，SACF提供迁移先验，SPCN提供局部相位修正。只有当候选动作满足最小绿灯时间、拥堵门控、压力增益和动作范围等条件时，SPCN才允许覆盖名义动作；否则继续执行TRANSYT方案。若状态缺失、模型异常或不确定性过高，系统回退到最大压力或固定配时控制。</w:t>
      </w:r>
    </w:p>
    <w:p w14:paraId="6C687139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因此，FSCC不是三个算法简单串联，也不是多个模型投票，而是形成“走廊协调优先、局部修正受限、规则安全兜底”的闭环控制机制。左侧反馈分支记录轨迹、指标、奖励和下一状态，右侧反馈分支汇聚区域拥堵、到达预测和走廊偏移建议，二者共同进入下一控制周期。</w:t>
      </w:r>
    </w:p>
    <w:p w14:paraId="13495959">
      <w:pPr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3722370" cy="5791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BDA8">
      <w:pPr>
        <w:spacing w:after="160"/>
        <w:jc w:val="center"/>
      </w:pPr>
      <w:r>
        <w:rPr>
          <w:rFonts w:ascii="Times New Roman" w:hAnsi="Times New Roman" w:eastAsia="宋体" w:cs="Times New Roman"/>
          <w:color w:val="5A5A5A"/>
          <w:sz w:val="24"/>
        </w:rPr>
        <w:t>图2　融序协同控制机制（FSCC）闭环决策流程</w:t>
      </w:r>
    </w:p>
    <w:p w14:paraId="11DFCFB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四、地图与仿真场景（约45秒）</w:t>
      </w:r>
    </w:p>
    <w:p w14:paraId="428D6B99">
      <w:pPr>
        <w:spacing w:before="80" w:after="80"/>
      </w:pPr>
      <w:r>
        <w:rPr>
          <w:rFonts w:ascii="Times New Roman" w:hAnsi="Times New Roman" w:eastAsia="宋体" w:cs="Times New Roman"/>
          <w:b/>
          <w:color w:val="1F4E79"/>
          <w:sz w:val="24"/>
        </w:rPr>
        <w:t>【画面提示】展示仿真平台的4×5路口动态窗口，可用鼠标滑轮放大查看路口编号、道路连接和状态信息。</w:t>
      </w:r>
    </w:p>
    <w:p w14:paraId="70CE0575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地图部分依据赛题提供的路口数据、道路走向和流量表格建立。我们保留雄安新区容东片区主要道路的相对方向关系：横向道路表示东西向交通走廊，纵向道路表示南北向连接道路，并结合已知路名和路口的大致方位，将20个实际路口抽象为4×5的规则控制拓扑；道路之间保留轻微不等距和弯曲，以避免把示意图误认为精确测绘底图。在此基础上，我们整理车道连接关系和信号方案，生成CityFlow网络，并配置早高峰、平峰和晚高峰三类需求。场景校验结果显示，平台包含20个受控路口和294条道路，三时段交通流分别为77,749辆、54,8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</w:rPr>
        <w:t>64辆和87,051辆，源数据与生成数据逐项对齐。</w:t>
      </w:r>
    </w:p>
    <w:p w14:paraId="41F0079D">
      <w:pPr>
        <w:spacing w:after="120" w:line="324" w:lineRule="auto"/>
        <w:ind w:firstLine="43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在运行过程中，动态窗口展示每个路口的当前相位、车辆数量和队列代理量；底部状态栏中的“simulation time”表示仿真已推进的时间，单位为秒；“on-network”表示当前仍在路网内运行的车辆数；“injected”表示已注入仿真的车辆数，分子为已注入数量，分母为计划注入总量；“queued”表示当前处于排队状态的车辆数；“displayed”表示当前窗口实际绘制的车辆数；“COMPLETE”表示本次仿真或车辆注入任务已经完成。系统同时记录每10秒的动作轨迹和运行状态，这样可以直观看到FSCC的动作确实进入仿真器，并对路口之间的协调效果进行审计。</w:t>
      </w:r>
    </w:p>
    <w:p w14:paraId="1FA801EE">
      <w:pPr>
        <w:spacing w:after="120" w:line="324" w:lineRule="auto"/>
        <w:ind w:firstLine="432"/>
        <w:rPr>
          <w:rFonts w:hint="default" w:ascii="Times New Roman" w:hAnsi="Times New Roman" w:eastAsia="宋体" w:cs="Times New Roman"/>
          <w:b w:val="0"/>
          <w:bCs/>
          <w:color w:val="auto"/>
          <w:sz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/>
          <w:color w:val="auto"/>
          <w:sz w:val="24"/>
        </w:rPr>
        <w:t>图中圆形颜色用于表示各路口当前采用的相位类型，便于在网格中快速识别信号状态：浅蓝色表示东西向直行相位，紫色表示南北向直行相位，绿色表示东西向左转相位，橙色表示南北向左转相位，红色表示相位切换阶段。结合路口编号、当前相位和队列数量，可以直观看到不同路口的信号放行方向及其协调关系。</w:t>
      </w:r>
      <w:r>
        <w:rPr>
          <w:rFonts w:hint="eastAsia" w:ascii="Times New Roman" w:hAnsi="Times New Roman" w:cs="Times New Roman"/>
          <w:b w:val="0"/>
          <w:bCs/>
          <w:color w:val="auto"/>
          <w:sz w:val="24"/>
          <w:lang w:eastAsia="zh-CN"/>
        </w:rPr>
      </w:r>
      <w:r>
        <w:rPr>
          <w:rFonts w:hint="eastAsia" w:ascii="Times New Roman" w:hAnsi="Times New Roman" w:cs="Times New Roman"/>
          <w:b w:val="0"/>
          <w:bCs/>
          <w:color w:val="auto"/>
          <w:sz w:val="24"/>
          <w:lang w:val="en-US" w:eastAsia="zh-CN"/>
        </w:rPr>
      </w:r>
    </w:p>
    <w:p w14:paraId="5EC26C5E">
      <w:pPr>
        <w:spacing w:after="120" w:line="324" w:lineRule="auto"/>
        <w:ind w:firstLine="432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2275840" cy="2087245"/>
            <wp:effectExtent l="0" t="0" r="63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80E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五、10%、20%、30%压力扰动演示与数据（约1分30秒）</w:t>
      </w:r>
    </w:p>
    <w:p w14:paraId="4404B9CC">
      <w:pPr>
        <w:spacing w:before="80" w:after="80"/>
      </w:pPr>
      <w:r>
        <w:rPr>
          <w:rFonts w:ascii="Times New Roman" w:hAnsi="Times New Roman" w:eastAsia="宋体" w:cs="Times New Roman"/>
          <w:b/>
          <w:color w:val="1F4E79"/>
          <w:sz w:val="24"/>
        </w:rPr>
        <w:t>【画面提示】分别显示10%、20%、30%压力扰动的仿真画面，再切换到旅行时间、延误和队列曲线。</w:t>
      </w:r>
    </w:p>
    <w:p w14:paraId="180D2C56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为了检验方法对交通需求变化的适应能力，我们在平峰场景下分别增加10%、20%和30%的交通需求，并将固定配时与FSCC放在完全相同的场景、流量、仿真步数和评价口径下比较。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715C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005C1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需求增幅</w:t>
            </w:r>
          </w:p>
        </w:tc>
        <w:tc>
          <w:tcPr>
            <w:tcW w:w="1632" w:type="dxa"/>
            <w:vAlign w:val="center"/>
          </w:tcPr>
          <w:p w14:paraId="6CAA26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固定配时旅行时间/s</w:t>
            </w:r>
          </w:p>
        </w:tc>
        <w:tc>
          <w:tcPr>
            <w:tcW w:w="1632" w:type="dxa"/>
            <w:vAlign w:val="center"/>
          </w:tcPr>
          <w:p w14:paraId="6B16DF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FSCC旅行时间/s</w:t>
            </w:r>
          </w:p>
        </w:tc>
        <w:tc>
          <w:tcPr>
            <w:tcW w:w="1632" w:type="dxa"/>
            <w:vAlign w:val="center"/>
          </w:tcPr>
          <w:p w14:paraId="07BF3A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旅行时间降幅</w:t>
            </w:r>
          </w:p>
        </w:tc>
        <w:tc>
          <w:tcPr>
            <w:tcW w:w="1632" w:type="dxa"/>
            <w:vAlign w:val="center"/>
          </w:tcPr>
          <w:p w14:paraId="251AA1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固定配时平均队列</w:t>
            </w:r>
          </w:p>
        </w:tc>
        <w:tc>
          <w:tcPr>
            <w:tcW w:w="1632" w:type="dxa"/>
            <w:vAlign w:val="center"/>
          </w:tcPr>
          <w:p w14:paraId="034BBF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FSCC平均队列</w:t>
            </w:r>
          </w:p>
        </w:tc>
      </w:tr>
      <w:tr w14:paraId="0B54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63EAA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10%</w:t>
            </w:r>
          </w:p>
        </w:tc>
        <w:tc>
          <w:tcPr>
            <w:tcW w:w="1632" w:type="dxa"/>
            <w:vAlign w:val="center"/>
          </w:tcPr>
          <w:p w14:paraId="483D30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826.424</w:t>
            </w:r>
          </w:p>
        </w:tc>
        <w:tc>
          <w:tcPr>
            <w:tcW w:w="1632" w:type="dxa"/>
            <w:vAlign w:val="center"/>
          </w:tcPr>
          <w:p w14:paraId="3C940A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759.763</w:t>
            </w:r>
          </w:p>
        </w:tc>
        <w:tc>
          <w:tcPr>
            <w:tcW w:w="1632" w:type="dxa"/>
            <w:vAlign w:val="center"/>
          </w:tcPr>
          <w:p w14:paraId="7E40C8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8.07%</w:t>
            </w:r>
          </w:p>
        </w:tc>
        <w:tc>
          <w:tcPr>
            <w:tcW w:w="1632" w:type="dxa"/>
            <w:vAlign w:val="center"/>
          </w:tcPr>
          <w:p w14:paraId="183D07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7.320</w:t>
            </w:r>
          </w:p>
        </w:tc>
        <w:tc>
          <w:tcPr>
            <w:tcW w:w="1632" w:type="dxa"/>
            <w:vAlign w:val="center"/>
          </w:tcPr>
          <w:p w14:paraId="796BE3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6.299</w:t>
            </w:r>
          </w:p>
        </w:tc>
      </w:tr>
      <w:tr w14:paraId="1063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8D8D6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20%</w:t>
            </w:r>
          </w:p>
        </w:tc>
        <w:tc>
          <w:tcPr>
            <w:tcW w:w="1632" w:type="dxa"/>
            <w:vAlign w:val="center"/>
          </w:tcPr>
          <w:p w14:paraId="727F8F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857.605</w:t>
            </w:r>
          </w:p>
        </w:tc>
        <w:tc>
          <w:tcPr>
            <w:tcW w:w="1632" w:type="dxa"/>
            <w:vAlign w:val="center"/>
          </w:tcPr>
          <w:p w14:paraId="289377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788.447</w:t>
            </w:r>
          </w:p>
        </w:tc>
        <w:tc>
          <w:tcPr>
            <w:tcW w:w="1632" w:type="dxa"/>
            <w:vAlign w:val="center"/>
          </w:tcPr>
          <w:p w14:paraId="1CB5C4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8.06%</w:t>
            </w:r>
          </w:p>
        </w:tc>
        <w:tc>
          <w:tcPr>
            <w:tcW w:w="1632" w:type="dxa"/>
            <w:vAlign w:val="center"/>
          </w:tcPr>
          <w:p w14:paraId="3DB15F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9.781</w:t>
            </w:r>
          </w:p>
        </w:tc>
        <w:tc>
          <w:tcPr>
            <w:tcW w:w="1632" w:type="dxa"/>
            <w:vAlign w:val="center"/>
          </w:tcPr>
          <w:p w14:paraId="02010B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8.429</w:t>
            </w:r>
          </w:p>
        </w:tc>
      </w:tr>
      <w:tr w14:paraId="44253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2A8FA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30%</w:t>
            </w:r>
          </w:p>
        </w:tc>
        <w:tc>
          <w:tcPr>
            <w:tcW w:w="1632" w:type="dxa"/>
            <w:vAlign w:val="center"/>
          </w:tcPr>
          <w:p w14:paraId="3AB1F7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870.000</w:t>
            </w:r>
          </w:p>
        </w:tc>
        <w:tc>
          <w:tcPr>
            <w:tcW w:w="1632" w:type="dxa"/>
            <w:vAlign w:val="center"/>
          </w:tcPr>
          <w:p w14:paraId="45AEC9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804.657</w:t>
            </w:r>
          </w:p>
        </w:tc>
        <w:tc>
          <w:tcPr>
            <w:tcW w:w="1632" w:type="dxa"/>
            <w:vAlign w:val="center"/>
          </w:tcPr>
          <w:p w14:paraId="724E50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7.51%</w:t>
            </w:r>
          </w:p>
        </w:tc>
        <w:tc>
          <w:tcPr>
            <w:tcW w:w="1632" w:type="dxa"/>
            <w:vAlign w:val="center"/>
          </w:tcPr>
          <w:p w14:paraId="23F3B2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9.087</w:t>
            </w:r>
          </w:p>
        </w:tc>
        <w:tc>
          <w:tcPr>
            <w:tcW w:w="1632" w:type="dxa"/>
            <w:vAlign w:val="center"/>
          </w:tcPr>
          <w:p w14:paraId="1A4500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4"/>
              </w:rPr>
              <w:t>7.888</w:t>
            </w:r>
          </w:p>
        </w:tc>
      </w:tr>
    </w:tbl>
    <w:p w14:paraId="00B1657C">
      <w:pPr>
        <w:spacing w:after="160"/>
        <w:jc w:val="center"/>
      </w:pPr>
      <w:r>
        <w:rPr>
          <w:rFonts w:ascii="Times New Roman" w:hAnsi="Times New Roman" w:eastAsia="宋体" w:cs="Times New Roman"/>
          <w:color w:val="5A5A5A"/>
          <w:sz w:val="24"/>
        </w:rPr>
        <w:t>表1　平峰压力扰动下固定配时与FSCC结果对比</w:t>
      </w:r>
    </w:p>
    <w:p w14:paraId="15AF50F0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在10%的需求增幅下，固定配时平均旅行时间为826.424秒，FSCC为759.763秒，下降8.07%；在20%的需求增幅下，固定配时为857.605秒，FSCC为788.447秒，下降8.06%；在30%的需求增幅下，固定配时为870.000秒，FSCC为804.657秒，下降7.51%。与此同时，平均队列代理量也从7.320、9.781和9.087，分别降至6.299、8.429和7.888。</w:t>
      </w:r>
    </w:p>
    <w:p w14:paraId="4C211F8B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这组结果说明，在当前测试范围内，FSCC能够在需求逐步增加时保持相对稳定的改善。这里需要强调，结果是固定随机种子下的可复算点估计，用于展示方法在当前仿真条件下的潜在收益；多随机种子统计和真实设备闭环测试仍属于后续增强验证。</w:t>
      </w:r>
    </w:p>
    <w:p w14:paraId="51EC0013">
      <w:pPr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5669280" cy="328803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44D5">
      <w:pPr>
        <w:spacing w:after="160"/>
        <w:jc w:val="center"/>
      </w:pPr>
      <w:r>
        <w:rPr>
          <w:rFonts w:ascii="Times New Roman" w:hAnsi="Times New Roman" w:eastAsia="宋体" w:cs="Times New Roman"/>
          <w:color w:val="5A5A5A"/>
          <w:sz w:val="24"/>
        </w:rPr>
        <w:t>图3　10%—30%压力扰动下平均旅行时间对比</w:t>
      </w:r>
    </w:p>
    <w:p w14:paraId="4508F81F">
      <w:pPr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5669280" cy="328676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ABDD">
      <w:pPr>
        <w:spacing w:after="160"/>
        <w:jc w:val="center"/>
      </w:pPr>
      <w:r>
        <w:rPr>
          <w:rFonts w:ascii="Times New Roman" w:hAnsi="Times New Roman" w:eastAsia="宋体" w:cs="Times New Roman"/>
          <w:color w:val="5A5A5A"/>
          <w:sz w:val="24"/>
        </w:rPr>
        <w:t>图4　10%—30%压力扰动下平均队列代理量对比</w:t>
      </w:r>
    </w:p>
    <w:p w14:paraId="17056738">
      <w:pPr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5669280" cy="328803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230">
      <w:pPr>
        <w:spacing w:after="160"/>
        <w:jc w:val="center"/>
      </w:pPr>
      <w:r>
        <w:rPr>
          <w:rFonts w:ascii="Times New Roman" w:hAnsi="Times New Roman" w:eastAsia="宋体" w:cs="Times New Roman"/>
          <w:color w:val="5A5A5A"/>
          <w:sz w:val="24"/>
        </w:rPr>
        <w:t>图5　10%—30%压力扰动下估计延误对比</w:t>
      </w:r>
    </w:p>
    <w:p w14:paraId="0BE0902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六、总结与赛题符合性（约35秒）</w:t>
      </w:r>
    </w:p>
    <w:p w14:paraId="5225CF7B">
      <w:pPr>
        <w:spacing w:before="80" w:after="80"/>
      </w:pPr>
      <w:r>
        <w:rPr>
          <w:rFonts w:ascii="Times New Roman" w:hAnsi="Times New Roman" w:eastAsia="宋体" w:cs="Times New Roman"/>
          <w:b/>
          <w:color w:val="1F4E79"/>
          <w:sz w:val="24"/>
        </w:rPr>
        <w:t>【画面提示】最后显示FSCC流程图、指标表和项目目录/运行结果画面。</w:t>
      </w:r>
    </w:p>
    <w:p w14:paraId="3230B98F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总结来看，我们已经完成原赛题要求的仿真环境、算法实现、实验评估和实际场景展示主线：场景方面，完成雄安20路口高保真CityFlow建模；算法方面，完成经典交通控制算法的场景适配、参数配置和公平基线对比；实验方面，完成三时段结果、组件消融和10%、20%、30%压力扰动验证；工程方面，提供统一接口、结果审计、复算脚本和容器化运行说明。</w:t>
      </w:r>
    </w:p>
    <w:p w14:paraId="35E1F4A9">
      <w:pPr>
        <w:spacing w:after="120" w:line="324" w:lineRule="auto"/>
        <w:ind w:firstLine="432"/>
      </w:pPr>
      <w:r>
        <w:rPr>
          <w:rFonts w:ascii="Times New Roman" w:hAnsi="Times New Roman" w:eastAsia="宋体" w:cs="Times New Roman"/>
          <w:sz w:val="24"/>
        </w:rPr>
        <w:t>FSCC是本项目的核心创新。它以TRANSYT风格方法保持走廊时序，以SACF提供可迁移动作先验，以SPCN细化相位竞争关系，再通过安全门控和规则回退保证最终动作可执行、可解释、可复现。我们希望通过这一机制，把经典交通控制的可靠性、学习算法的适应性和车路云系统的协同性结合起来，为雄安新区城市级交通协同管控提供一条可验证、可扩展的技术路径。谢谢大家。</w:t>
      </w:r>
    </w:p>
    <w:sectPr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B02516"/>
    <w:rsid w:val="6320557A"/>
    <w:rsid w:val="788B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2961</Words>
  <Characters>3499</Characters>
  <Lines>0</Lines>
  <Paragraphs>0</Paragraphs>
  <TotalTime>12</TotalTime>
  <ScaleCrop>false</ScaleCrop>
  <LinksUpToDate>false</LinksUpToDate>
  <CharactersWithSpaces>3516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25182404</cp:lastModifiedBy>
  <dcterms:modified xsi:type="dcterms:W3CDTF">2026-09-04T05:02:23Z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2052-12.1.0.28505</vt:lpwstr>
  </property>
  <property fmtid="{D5CDD505-2E9C-101B-9397-08002B2CF9AE}" pid="4" name="ICV">
    <vt:lpwstr>F4BEE33FB24D416BA10058D226BD3028_12</vt:lpwstr>
  </property>
</Properties>
</file>