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CA38" w14:textId="77777777" w:rsidR="00266192" w:rsidRDefault="00000000">
      <w:pPr>
        <w:pStyle w:val="Title"/>
        <w:jc w:val="center"/>
      </w:pPr>
      <w:r>
        <w:t>VetsReady Pitch Deck Package – Executive Edition</w:t>
      </w:r>
    </w:p>
    <w:p w14:paraId="6D37AB7F" w14:textId="77777777" w:rsidR="00266192" w:rsidRDefault="00000000">
      <w:pPr>
        <w:pStyle w:val="Heading1"/>
      </w:pPr>
      <w:r>
        <w:t>Section A — Investor Pitch Deck</w:t>
      </w:r>
    </w:p>
    <w:p w14:paraId="0BBB095F" w14:textId="77777777" w:rsidR="00266192" w:rsidRDefault="00000000">
      <w:pPr>
        <w:pStyle w:val="Heading2"/>
      </w:pPr>
      <w:r>
        <w:t>Problem</w:t>
      </w:r>
    </w:p>
    <w:p w14:paraId="21633A16" w14:textId="77777777" w:rsidR="00266192" w:rsidRDefault="00000000">
      <w:pPr>
        <w:pStyle w:val="ListBullet"/>
      </w:pPr>
      <w:r>
        <w:t>Veterans face fragmented systems, unclear guidance, and inconsistent support.</w:t>
      </w:r>
    </w:p>
    <w:p w14:paraId="76B816C9" w14:textId="77777777" w:rsidR="00266192" w:rsidRDefault="00000000">
      <w:pPr>
        <w:pStyle w:val="ListBullet"/>
      </w:pPr>
      <w:r>
        <w:t>Navigating benefits, transition, employment, and wellness requires multiple disconnected tools.</w:t>
      </w:r>
    </w:p>
    <w:p w14:paraId="0F4F1116" w14:textId="77777777" w:rsidR="00266192" w:rsidRDefault="00000000">
      <w:pPr>
        <w:pStyle w:val="Heading2"/>
      </w:pPr>
      <w:r>
        <w:t>Solution</w:t>
      </w:r>
    </w:p>
    <w:p w14:paraId="674F3A67" w14:textId="77777777" w:rsidR="00266192" w:rsidRDefault="00000000">
      <w:pPr>
        <w:pStyle w:val="ListBullet"/>
      </w:pPr>
      <w:r>
        <w:t>VetsReady provides a unified advisory platform.</w:t>
      </w:r>
    </w:p>
    <w:p w14:paraId="65807136" w14:textId="77777777" w:rsidR="00266192" w:rsidRDefault="00000000">
      <w:pPr>
        <w:pStyle w:val="ListBullet"/>
      </w:pPr>
      <w:r>
        <w:t>Delivers clarity, structured guidance, and personalized tools without filing claims.</w:t>
      </w:r>
    </w:p>
    <w:p w14:paraId="0B83FEC2" w14:textId="77777777" w:rsidR="00266192" w:rsidRDefault="00000000">
      <w:pPr>
        <w:pStyle w:val="Heading2"/>
      </w:pPr>
      <w:r>
        <w:t>Market</w:t>
      </w:r>
    </w:p>
    <w:p w14:paraId="61D11FA8" w14:textId="77777777" w:rsidR="00266192" w:rsidRDefault="00000000">
      <w:pPr>
        <w:pStyle w:val="ListBullet"/>
      </w:pPr>
      <w:r>
        <w:t>19M+ U.S. veterans</w:t>
      </w:r>
    </w:p>
    <w:p w14:paraId="2EB85F4D" w14:textId="77777777" w:rsidR="00266192" w:rsidRDefault="00000000">
      <w:pPr>
        <w:pStyle w:val="ListBullet"/>
      </w:pPr>
      <w:r>
        <w:t>200k+ annual service members transitioning</w:t>
      </w:r>
    </w:p>
    <w:p w14:paraId="722CDCB2" w14:textId="77777777" w:rsidR="00266192" w:rsidRDefault="00000000">
      <w:pPr>
        <w:pStyle w:val="ListBullet"/>
      </w:pPr>
      <w:r>
        <w:t>Millions seeking benefits, employment, and support</w:t>
      </w:r>
    </w:p>
    <w:p w14:paraId="3E1B7CB2" w14:textId="77777777" w:rsidR="00266192" w:rsidRDefault="00000000">
      <w:pPr>
        <w:pStyle w:val="Heading2"/>
      </w:pPr>
      <w:r>
        <w:t>TAM/SAM/SOM</w:t>
      </w:r>
    </w:p>
    <w:p w14:paraId="3F8B7F06" w14:textId="77777777" w:rsidR="00266192" w:rsidRDefault="00000000">
      <w:pPr>
        <w:pStyle w:val="ListBullet"/>
      </w:pPr>
      <w:r>
        <w:t>TAM: $20B+ veteran services ecosystem</w:t>
      </w:r>
    </w:p>
    <w:p w14:paraId="6594D228" w14:textId="77777777" w:rsidR="00266192" w:rsidRDefault="00000000">
      <w:pPr>
        <w:pStyle w:val="ListBullet"/>
      </w:pPr>
      <w:r>
        <w:t>SAM: $3B digital advisory and support market</w:t>
      </w:r>
    </w:p>
    <w:p w14:paraId="194F4597" w14:textId="77777777" w:rsidR="00266192" w:rsidRDefault="00000000">
      <w:pPr>
        <w:pStyle w:val="ListBullet"/>
      </w:pPr>
      <w:r>
        <w:t>SOM: $150M targeted early‑stage penetration</w:t>
      </w:r>
    </w:p>
    <w:p w14:paraId="112D6B67" w14:textId="77777777" w:rsidR="00266192" w:rsidRDefault="00000000">
      <w:pPr>
        <w:pStyle w:val="Heading2"/>
      </w:pPr>
      <w:r>
        <w:t>Business Model</w:t>
      </w:r>
    </w:p>
    <w:p w14:paraId="167E1514" w14:textId="77777777" w:rsidR="00266192" w:rsidRDefault="00000000">
      <w:pPr>
        <w:pStyle w:val="ListBullet"/>
      </w:pPr>
      <w:r>
        <w:t>Pro subscription</w:t>
      </w:r>
    </w:p>
    <w:p w14:paraId="7DFB5EC1" w14:textId="77777777" w:rsidR="00266192" w:rsidRDefault="00000000">
      <w:pPr>
        <w:pStyle w:val="ListBullet"/>
      </w:pPr>
      <w:r>
        <w:t>Enterprise licensing</w:t>
      </w:r>
    </w:p>
    <w:p w14:paraId="2F6EFEB0" w14:textId="77777777" w:rsidR="00266192" w:rsidRDefault="00000000">
      <w:pPr>
        <w:pStyle w:val="ListBullet"/>
      </w:pPr>
      <w:r>
        <w:t>State contracts</w:t>
      </w:r>
    </w:p>
    <w:p w14:paraId="502D610E" w14:textId="77777777" w:rsidR="00266192" w:rsidRDefault="00000000">
      <w:pPr>
        <w:pStyle w:val="ListBullet"/>
      </w:pPr>
      <w:r>
        <w:t>Attorney/VSO tools</w:t>
      </w:r>
    </w:p>
    <w:p w14:paraId="77F13BFC" w14:textId="77777777" w:rsidR="00266192" w:rsidRDefault="00000000">
      <w:pPr>
        <w:pStyle w:val="ListBullet"/>
      </w:pPr>
      <w:r>
        <w:t>Employer partnerships</w:t>
      </w:r>
    </w:p>
    <w:p w14:paraId="7C9733F2" w14:textId="77777777" w:rsidR="00266192" w:rsidRDefault="00000000">
      <w:pPr>
        <w:pStyle w:val="Heading2"/>
      </w:pPr>
      <w:r>
        <w:t>Revenue Projections</w:t>
      </w:r>
    </w:p>
    <w:p w14:paraId="4FB0BF6D" w14:textId="77777777" w:rsidR="00266192" w:rsidRDefault="00000000">
      <w:pPr>
        <w:pStyle w:val="ListBullet"/>
      </w:pPr>
      <w:r>
        <w:t>Year 1: Foundation + early revenue</w:t>
      </w:r>
    </w:p>
    <w:p w14:paraId="4AACA3D2" w14:textId="77777777" w:rsidR="00266192" w:rsidRDefault="00000000">
      <w:pPr>
        <w:pStyle w:val="ListBullet"/>
      </w:pPr>
      <w:r>
        <w:t>Year 2: Enterprise expansion</w:t>
      </w:r>
    </w:p>
    <w:p w14:paraId="5C15865B" w14:textId="77777777" w:rsidR="00266192" w:rsidRDefault="00000000">
      <w:pPr>
        <w:pStyle w:val="ListBullet"/>
      </w:pPr>
      <w:r>
        <w:t>Year 3: National partnerships</w:t>
      </w:r>
    </w:p>
    <w:p w14:paraId="40D02D72" w14:textId="77777777" w:rsidR="00266192" w:rsidRDefault="00000000">
      <w:pPr>
        <w:pStyle w:val="Heading2"/>
      </w:pPr>
      <w:r>
        <w:t>Competitive Advantage</w:t>
      </w:r>
    </w:p>
    <w:p w14:paraId="0D6C46D5" w14:textId="77777777" w:rsidR="00266192" w:rsidRDefault="00000000">
      <w:pPr>
        <w:pStyle w:val="ListBullet"/>
      </w:pPr>
      <w:r>
        <w:t>Advisory‑only compliance</w:t>
      </w:r>
    </w:p>
    <w:p w14:paraId="0DE619BF" w14:textId="77777777" w:rsidR="00266192" w:rsidRDefault="00000000">
      <w:pPr>
        <w:pStyle w:val="ListBullet"/>
      </w:pPr>
      <w:r>
        <w:t>AI‑driven accuracy</w:t>
      </w:r>
    </w:p>
    <w:p w14:paraId="4F7668FC" w14:textId="77777777" w:rsidR="00266192" w:rsidRDefault="00000000">
      <w:pPr>
        <w:pStyle w:val="ListBullet"/>
      </w:pPr>
      <w:r>
        <w:t>Modular architecture</w:t>
      </w:r>
    </w:p>
    <w:p w14:paraId="0CA67905" w14:textId="77777777" w:rsidR="00266192" w:rsidRDefault="00000000">
      <w:pPr>
        <w:pStyle w:val="ListBullet"/>
      </w:pPr>
      <w:r>
        <w:lastRenderedPageBreak/>
        <w:t>Veteran‑centric design</w:t>
      </w:r>
    </w:p>
    <w:p w14:paraId="697D76C0" w14:textId="77777777" w:rsidR="00266192" w:rsidRDefault="00000000">
      <w:pPr>
        <w:pStyle w:val="Heading2"/>
      </w:pPr>
      <w:r>
        <w:t>Roadmap</w:t>
      </w:r>
    </w:p>
    <w:p w14:paraId="0D419DF6" w14:textId="77777777" w:rsidR="00266192" w:rsidRDefault="00000000">
      <w:pPr>
        <w:pStyle w:val="ListBullet"/>
      </w:pPr>
      <w:r>
        <w:t>12‑month build</w:t>
      </w:r>
    </w:p>
    <w:p w14:paraId="2955A3A9" w14:textId="77777777" w:rsidR="00266192" w:rsidRDefault="00000000">
      <w:pPr>
        <w:pStyle w:val="ListBullet"/>
      </w:pPr>
      <w:r>
        <w:t>36‑month expansion</w:t>
      </w:r>
    </w:p>
    <w:p w14:paraId="55745433" w14:textId="77777777" w:rsidR="00266192" w:rsidRDefault="00000000">
      <w:pPr>
        <w:pStyle w:val="ListBullet"/>
      </w:pPr>
      <w:r>
        <w:t>Enterprise and state integrations</w:t>
      </w:r>
    </w:p>
    <w:p w14:paraId="6ACEFF24" w14:textId="77777777" w:rsidR="00266192" w:rsidRDefault="00000000">
      <w:pPr>
        <w:pStyle w:val="Heading2"/>
      </w:pPr>
      <w:r>
        <w:t>Funding Ask</w:t>
      </w:r>
    </w:p>
    <w:p w14:paraId="221F0762" w14:textId="77777777" w:rsidR="00266192" w:rsidRDefault="00000000">
      <w:pPr>
        <w:pStyle w:val="ListBullet"/>
      </w:pPr>
      <w:r>
        <w:t>Capital to accelerate engineering, AI, and enterprise deployment</w:t>
      </w:r>
    </w:p>
    <w:p w14:paraId="1B6B0575" w14:textId="77777777" w:rsidR="00266192" w:rsidRDefault="00000000">
      <w:pPr>
        <w:pStyle w:val="Heading1"/>
      </w:pPr>
      <w:r>
        <w:t>Section B — VA / State Agency Pitch Deck</w:t>
      </w:r>
    </w:p>
    <w:p w14:paraId="73BD1E96" w14:textId="77777777" w:rsidR="00266192" w:rsidRDefault="00000000">
      <w:pPr>
        <w:pStyle w:val="Heading2"/>
      </w:pPr>
      <w:r>
        <w:t>Veteran Impact</w:t>
      </w:r>
    </w:p>
    <w:p w14:paraId="394B4C77" w14:textId="77777777" w:rsidR="00266192" w:rsidRDefault="00000000">
      <w:pPr>
        <w:pStyle w:val="ListBullet"/>
      </w:pPr>
      <w:r>
        <w:t>Improves clarity and reduces confusion</w:t>
      </w:r>
    </w:p>
    <w:p w14:paraId="18C14155" w14:textId="77777777" w:rsidR="00266192" w:rsidRDefault="00000000">
      <w:pPr>
        <w:pStyle w:val="ListBullet"/>
      </w:pPr>
      <w:r>
        <w:t>Supports underserved rural and minority veterans</w:t>
      </w:r>
    </w:p>
    <w:p w14:paraId="48F41406" w14:textId="77777777" w:rsidR="00266192" w:rsidRDefault="00000000">
      <w:pPr>
        <w:pStyle w:val="Heading2"/>
      </w:pPr>
      <w:r>
        <w:t>State Partnership Model</w:t>
      </w:r>
    </w:p>
    <w:p w14:paraId="56B10238" w14:textId="77777777" w:rsidR="00266192" w:rsidRDefault="00000000">
      <w:pPr>
        <w:pStyle w:val="ListBullet"/>
      </w:pPr>
      <w:r>
        <w:t>Licensing for statewide access</w:t>
      </w:r>
    </w:p>
    <w:p w14:paraId="5FAF0897" w14:textId="77777777" w:rsidR="00266192" w:rsidRDefault="00000000">
      <w:pPr>
        <w:pStyle w:val="ListBullet"/>
      </w:pPr>
      <w:r>
        <w:t>Integration with state benefit systems</w:t>
      </w:r>
    </w:p>
    <w:p w14:paraId="58E9786C" w14:textId="77777777" w:rsidR="00266192" w:rsidRDefault="00000000">
      <w:pPr>
        <w:pStyle w:val="Heading2"/>
      </w:pPr>
      <w:r>
        <w:t>Workforce Development</w:t>
      </w:r>
    </w:p>
    <w:p w14:paraId="0FBDB2D6" w14:textId="77777777" w:rsidR="00266192" w:rsidRDefault="00000000">
      <w:pPr>
        <w:pStyle w:val="ListBullet"/>
      </w:pPr>
      <w:r>
        <w:t>Supports transition to civilian careers</w:t>
      </w:r>
    </w:p>
    <w:p w14:paraId="7B8268EC" w14:textId="77777777" w:rsidR="00266192" w:rsidRDefault="00000000">
      <w:pPr>
        <w:pStyle w:val="ListBullet"/>
      </w:pPr>
      <w:r>
        <w:t>Provides job matching and readiness tools</w:t>
      </w:r>
    </w:p>
    <w:p w14:paraId="550013E1" w14:textId="77777777" w:rsidR="00266192" w:rsidRDefault="00000000">
      <w:pPr>
        <w:pStyle w:val="Heading2"/>
      </w:pPr>
      <w:r>
        <w:t>Transition Support</w:t>
      </w:r>
    </w:p>
    <w:p w14:paraId="7F07792C" w14:textId="77777777" w:rsidR="00266192" w:rsidRDefault="00000000">
      <w:pPr>
        <w:pStyle w:val="ListBullet"/>
      </w:pPr>
      <w:r>
        <w:t>STR analyzer</w:t>
      </w:r>
    </w:p>
    <w:p w14:paraId="5CC09667" w14:textId="77777777" w:rsidR="00266192" w:rsidRDefault="00000000">
      <w:pPr>
        <w:pStyle w:val="ListBullet"/>
      </w:pPr>
      <w:r>
        <w:t>MOS translator</w:t>
      </w:r>
    </w:p>
    <w:p w14:paraId="6356CC5A" w14:textId="77777777" w:rsidR="00266192" w:rsidRDefault="00000000">
      <w:pPr>
        <w:pStyle w:val="ListBullet"/>
      </w:pPr>
      <w:r>
        <w:t>Pre‑separation planning</w:t>
      </w:r>
    </w:p>
    <w:p w14:paraId="13EA77DB" w14:textId="77777777" w:rsidR="00266192" w:rsidRDefault="00000000">
      <w:pPr>
        <w:pStyle w:val="Heading2"/>
      </w:pPr>
      <w:r>
        <w:t>Data Insights</w:t>
      </w:r>
    </w:p>
    <w:p w14:paraId="2504DA43" w14:textId="77777777" w:rsidR="00266192" w:rsidRDefault="00000000">
      <w:pPr>
        <w:pStyle w:val="ListBullet"/>
      </w:pPr>
      <w:r>
        <w:t>Anonymous usage analytics</w:t>
      </w:r>
    </w:p>
    <w:p w14:paraId="4635FDAD" w14:textId="77777777" w:rsidR="00266192" w:rsidRDefault="00000000">
      <w:pPr>
        <w:pStyle w:val="ListBullet"/>
      </w:pPr>
      <w:r>
        <w:t>Veteran needs mapping</w:t>
      </w:r>
    </w:p>
    <w:p w14:paraId="2051BEAD" w14:textId="77777777" w:rsidR="00266192" w:rsidRDefault="00000000">
      <w:pPr>
        <w:pStyle w:val="Heading2"/>
      </w:pPr>
      <w:r>
        <w:t>Compliance &amp; Security</w:t>
      </w:r>
    </w:p>
    <w:p w14:paraId="7B0CAABE" w14:textId="77777777" w:rsidR="00266192" w:rsidRDefault="00000000">
      <w:pPr>
        <w:pStyle w:val="ListBullet"/>
      </w:pPr>
      <w:r>
        <w:t>Advisory‑only platform</w:t>
      </w:r>
    </w:p>
    <w:p w14:paraId="2FFF2832" w14:textId="77777777" w:rsidR="00266192" w:rsidRDefault="00000000">
      <w:pPr>
        <w:pStyle w:val="ListBullet"/>
      </w:pPr>
      <w:r>
        <w:t>No claim submission</w:t>
      </w:r>
    </w:p>
    <w:p w14:paraId="6AB5D2AA" w14:textId="77777777" w:rsidR="00266192" w:rsidRDefault="00000000">
      <w:pPr>
        <w:pStyle w:val="ListBullet"/>
      </w:pPr>
      <w:r>
        <w:t>No PII without encryption</w:t>
      </w:r>
    </w:p>
    <w:p w14:paraId="5C5FAF0E" w14:textId="77777777" w:rsidR="00266192" w:rsidRDefault="00000000">
      <w:pPr>
        <w:pStyle w:val="Heading2"/>
      </w:pPr>
      <w:r>
        <w:t>Why States Should Adopt VetsReady</w:t>
      </w:r>
    </w:p>
    <w:p w14:paraId="5DCB8A1F" w14:textId="77777777" w:rsidR="00266192" w:rsidRDefault="00000000">
      <w:pPr>
        <w:pStyle w:val="ListBullet"/>
      </w:pPr>
      <w:r>
        <w:t>Improves veteran outcomes</w:t>
      </w:r>
    </w:p>
    <w:p w14:paraId="647E9F86" w14:textId="77777777" w:rsidR="00266192" w:rsidRDefault="00000000">
      <w:pPr>
        <w:pStyle w:val="ListBullet"/>
      </w:pPr>
      <w:r>
        <w:t>Reduces administrative burden</w:t>
      </w:r>
    </w:p>
    <w:p w14:paraId="68BAD6D5" w14:textId="77777777" w:rsidR="00266192" w:rsidRDefault="00000000">
      <w:pPr>
        <w:pStyle w:val="ListBullet"/>
      </w:pPr>
      <w:r>
        <w:t>Enhances statewide veteran engagement</w:t>
      </w:r>
    </w:p>
    <w:p w14:paraId="62D08C95" w14:textId="77777777" w:rsidR="00266192" w:rsidRDefault="00000000">
      <w:pPr>
        <w:pStyle w:val="Heading1"/>
      </w:pPr>
      <w:r>
        <w:lastRenderedPageBreak/>
        <w:t>Section C — VSO / Attorney Pitch Deck</w:t>
      </w:r>
    </w:p>
    <w:p w14:paraId="75AE1CD9" w14:textId="77777777" w:rsidR="00266192" w:rsidRDefault="00000000">
      <w:pPr>
        <w:pStyle w:val="Heading2"/>
      </w:pPr>
      <w:r>
        <w:t>Claim Intake Automation (Advisory Only)</w:t>
      </w:r>
    </w:p>
    <w:p w14:paraId="3395A02D" w14:textId="77777777" w:rsidR="00266192" w:rsidRDefault="00000000">
      <w:pPr>
        <w:pStyle w:val="ListBullet"/>
      </w:pPr>
      <w:r>
        <w:t>Structured questionnaires</w:t>
      </w:r>
    </w:p>
    <w:p w14:paraId="0E2EB531" w14:textId="77777777" w:rsidR="00266192" w:rsidRDefault="00000000">
      <w:pPr>
        <w:pStyle w:val="ListBullet"/>
      </w:pPr>
      <w:r>
        <w:t>Evidence checklists</w:t>
      </w:r>
    </w:p>
    <w:p w14:paraId="30E9E049" w14:textId="77777777" w:rsidR="00266192" w:rsidRDefault="00000000">
      <w:pPr>
        <w:pStyle w:val="ListBullet"/>
      </w:pPr>
      <w:r>
        <w:t>Condition mapping</w:t>
      </w:r>
    </w:p>
    <w:p w14:paraId="174E0EF0" w14:textId="77777777" w:rsidR="00266192" w:rsidRDefault="00000000">
      <w:pPr>
        <w:pStyle w:val="Heading2"/>
      </w:pPr>
      <w:r>
        <w:t>Evidence Tools</w:t>
      </w:r>
    </w:p>
    <w:p w14:paraId="289FCC6E" w14:textId="77777777" w:rsidR="00266192" w:rsidRDefault="00000000">
      <w:pPr>
        <w:pStyle w:val="ListBullet"/>
      </w:pPr>
      <w:r>
        <w:t>OCR extraction</w:t>
      </w:r>
    </w:p>
    <w:p w14:paraId="15725721" w14:textId="77777777" w:rsidR="00266192" w:rsidRDefault="00000000">
      <w:pPr>
        <w:pStyle w:val="ListBullet"/>
      </w:pPr>
      <w:r>
        <w:t>Evidence categorization</w:t>
      </w:r>
    </w:p>
    <w:p w14:paraId="5E85452F" w14:textId="77777777" w:rsidR="00266192" w:rsidRDefault="00000000">
      <w:pPr>
        <w:pStyle w:val="ListBullet"/>
      </w:pPr>
      <w:r>
        <w:t>Advisory‑only recommendations</w:t>
      </w:r>
    </w:p>
    <w:p w14:paraId="39BBFEC1" w14:textId="77777777" w:rsidR="00266192" w:rsidRDefault="00000000">
      <w:pPr>
        <w:pStyle w:val="Heading2"/>
      </w:pPr>
      <w:r>
        <w:t>Strategy Builder</w:t>
      </w:r>
    </w:p>
    <w:p w14:paraId="7C29146A" w14:textId="77777777" w:rsidR="00266192" w:rsidRDefault="00000000">
      <w:pPr>
        <w:pStyle w:val="ListBullet"/>
      </w:pPr>
      <w:r>
        <w:t>Effective date logic</w:t>
      </w:r>
    </w:p>
    <w:p w14:paraId="4F0132B3" w14:textId="77777777" w:rsidR="00266192" w:rsidRDefault="00000000">
      <w:pPr>
        <w:pStyle w:val="ListBullet"/>
      </w:pPr>
      <w:r>
        <w:t>Secondary condition mapping</w:t>
      </w:r>
    </w:p>
    <w:p w14:paraId="7C02D12B" w14:textId="77777777" w:rsidR="00266192" w:rsidRDefault="00000000">
      <w:pPr>
        <w:pStyle w:val="ListBullet"/>
      </w:pPr>
      <w:r>
        <w:t>Denied claim recovery paths</w:t>
      </w:r>
    </w:p>
    <w:p w14:paraId="131F5E27" w14:textId="77777777" w:rsidR="00266192" w:rsidRDefault="00000000">
      <w:pPr>
        <w:pStyle w:val="Heading2"/>
      </w:pPr>
      <w:r>
        <w:t>Client Dashboards</w:t>
      </w:r>
    </w:p>
    <w:p w14:paraId="356BB7A4" w14:textId="77777777" w:rsidR="00266192" w:rsidRDefault="00000000">
      <w:pPr>
        <w:pStyle w:val="ListBullet"/>
      </w:pPr>
      <w:r>
        <w:t>Progress tracking</w:t>
      </w:r>
    </w:p>
    <w:p w14:paraId="0070CE45" w14:textId="77777777" w:rsidR="00266192" w:rsidRDefault="00000000">
      <w:pPr>
        <w:pStyle w:val="ListBullet"/>
      </w:pPr>
      <w:r>
        <w:t>Document organization</w:t>
      </w:r>
    </w:p>
    <w:p w14:paraId="02A5EFAF" w14:textId="77777777" w:rsidR="00266192" w:rsidRDefault="00000000">
      <w:pPr>
        <w:pStyle w:val="ListBullet"/>
      </w:pPr>
      <w:r>
        <w:t>Advisory insights</w:t>
      </w:r>
    </w:p>
    <w:p w14:paraId="32E8AC0C" w14:textId="77777777" w:rsidR="00266192" w:rsidRDefault="00000000">
      <w:pPr>
        <w:pStyle w:val="Heading2"/>
      </w:pPr>
      <w:r>
        <w:t>Efficiency Gains</w:t>
      </w:r>
    </w:p>
    <w:p w14:paraId="231D126D" w14:textId="77777777" w:rsidR="00266192" w:rsidRDefault="00000000">
      <w:pPr>
        <w:pStyle w:val="ListBullet"/>
      </w:pPr>
      <w:r>
        <w:t>Reduced manual review</w:t>
      </w:r>
    </w:p>
    <w:p w14:paraId="2D58A46C" w14:textId="77777777" w:rsidR="00266192" w:rsidRDefault="00000000">
      <w:pPr>
        <w:pStyle w:val="ListBullet"/>
      </w:pPr>
      <w:r>
        <w:t>Faster preparation</w:t>
      </w:r>
    </w:p>
    <w:p w14:paraId="3CA883A3" w14:textId="77777777" w:rsidR="00266192" w:rsidRDefault="00000000">
      <w:pPr>
        <w:pStyle w:val="ListBullet"/>
      </w:pPr>
      <w:r>
        <w:t>Higher accuracy</w:t>
      </w:r>
    </w:p>
    <w:p w14:paraId="27CECF7B" w14:textId="77777777" w:rsidR="00266192" w:rsidRDefault="00000000">
      <w:pPr>
        <w:pStyle w:val="Heading2"/>
      </w:pPr>
      <w:r>
        <w:t>Pricing for Organizations</w:t>
      </w:r>
    </w:p>
    <w:p w14:paraId="43FA79F3" w14:textId="77777777" w:rsidR="00266192" w:rsidRDefault="00000000">
      <w:pPr>
        <w:pStyle w:val="ListBullet"/>
      </w:pPr>
      <w:r>
        <w:t>Per‑seat licensing</w:t>
      </w:r>
    </w:p>
    <w:p w14:paraId="7B253810" w14:textId="77777777" w:rsidR="00266192" w:rsidRDefault="00000000">
      <w:pPr>
        <w:pStyle w:val="ListBullet"/>
      </w:pPr>
      <w:r>
        <w:t>Enterprise packages</w:t>
      </w:r>
    </w:p>
    <w:p w14:paraId="5DE4C761" w14:textId="77777777" w:rsidR="00266192" w:rsidRDefault="00000000">
      <w:pPr>
        <w:pStyle w:val="ListBullet"/>
      </w:pPr>
      <w:r>
        <w:t>Support and training</w:t>
      </w:r>
    </w:p>
    <w:p w14:paraId="2CC1C0F6" w14:textId="77777777" w:rsidR="00266192" w:rsidRDefault="00000000">
      <w:pPr>
        <w:pStyle w:val="Heading1"/>
      </w:pPr>
      <w:r>
        <w:t>Final Summary</w:t>
      </w:r>
    </w:p>
    <w:p w14:paraId="2014665A" w14:textId="77777777" w:rsidR="00266192" w:rsidRDefault="00000000">
      <w:r>
        <w:t>The VetsReady Pitch Deck Package provides tailored messaging for investors, state agencies, VSOs, and attorneys. It positions VetsReady as the nation’s most trusted advisory platform for veterans, built on compliance, clarity, and mission‑focused design.</w:t>
      </w:r>
    </w:p>
    <w:sectPr w:rsidR="002661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121082">
    <w:abstractNumId w:val="8"/>
  </w:num>
  <w:num w:numId="2" w16cid:durableId="885411233">
    <w:abstractNumId w:val="6"/>
  </w:num>
  <w:num w:numId="3" w16cid:durableId="629476667">
    <w:abstractNumId w:val="5"/>
  </w:num>
  <w:num w:numId="4" w16cid:durableId="982391031">
    <w:abstractNumId w:val="4"/>
  </w:num>
  <w:num w:numId="5" w16cid:durableId="1162232031">
    <w:abstractNumId w:val="7"/>
  </w:num>
  <w:num w:numId="6" w16cid:durableId="208811270">
    <w:abstractNumId w:val="3"/>
  </w:num>
  <w:num w:numId="7" w16cid:durableId="1875728334">
    <w:abstractNumId w:val="2"/>
  </w:num>
  <w:num w:numId="8" w16cid:durableId="1368094413">
    <w:abstractNumId w:val="1"/>
  </w:num>
  <w:num w:numId="9" w16cid:durableId="192781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246"/>
    <w:rsid w:val="0015074B"/>
    <w:rsid w:val="001B5BB2"/>
    <w:rsid w:val="00266192"/>
    <w:rsid w:val="0029639D"/>
    <w:rsid w:val="00326F90"/>
    <w:rsid w:val="005215DB"/>
    <w:rsid w:val="00AA1D8D"/>
    <w:rsid w:val="00B47730"/>
    <w:rsid w:val="00CB0664"/>
    <w:rsid w:val="00FC693F"/>
    <w:rsid w:val="00FD6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2A9F2"/>
  <w14:defaultImageDpi w14:val="300"/>
  <w15:docId w15:val="{6EC475ED-CCA0-4BD9-BFE8-7595A2AE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328</Words>
  <Characters>2399</Characters>
  <Application>Microsoft Office Word</Application>
  <DocSecurity>0</DocSecurity>
  <Lines>93</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 Fletcher</cp:lastModifiedBy>
  <cp:revision>2</cp:revision>
  <dcterms:created xsi:type="dcterms:W3CDTF">2026-01-25T01:58:00Z</dcterms:created>
  <dcterms:modified xsi:type="dcterms:W3CDTF">2026-01-25T01:58:00Z</dcterms:modified>
  <cp:category/>
</cp:coreProperties>
</file>