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Bdr>
          <w:bottom w:val="single" w:sz="12" w:space="4" w:color="2A9D8F"/>
        </w:pBdr>
      </w:pPr>
      <w:r>
        <w:rPr>
          <w:rFonts w:ascii="Arial" w:hAnsi="Arial"/>
          <w:b/>
          <w:color w:val="1E3A5F"/>
          <w:sz w:val="34"/>
        </w:rPr>
        <w:t>Cohort Logic — Recommended Defaults &amp; Open Decisions</w:t>
      </w:r>
    </w:p>
    <w:p>
      <w:pPr>
        <w:spacing w:after="120"/>
      </w:pPr>
      <w:r>
        <w:rPr>
          <w:rFonts w:ascii="Arial" w:hAnsi="Arial"/>
          <w:b/>
          <w:sz w:val="21"/>
        </w:rPr>
        <w:t>Status:</w:t>
      </w:r>
      <w:r>
        <w:rPr>
          <w:rFonts w:ascii="Arial" w:hAnsi="Arial"/>
          <w:sz w:val="21"/>
        </w:rPr>
        <w:t xml:space="preserve"> Recommendations to approve — clears the </w:t>
      </w:r>
      <w:r>
        <w:rPr>
          <w:rFonts w:ascii="Consolas" w:hAnsi="Consolas"/>
          <w:sz w:val="19"/>
        </w:rPr>
        <w:t>[DECIDE]</w:t>
      </w:r>
      <w:r>
        <w:rPr>
          <w:rFonts w:ascii="Arial" w:hAnsi="Arial"/>
          <w:sz w:val="21"/>
        </w:rPr>
        <w:t xml:space="preserve"> / </w:t>
      </w:r>
      <w:r>
        <w:rPr>
          <w:rFonts w:ascii="Consolas" w:hAnsi="Consolas"/>
          <w:sz w:val="19"/>
        </w:rPr>
        <w:t>[FILL]</w:t>
      </w:r>
      <w:r>
        <w:rPr>
          <w:rFonts w:ascii="Arial" w:hAnsi="Arial"/>
          <w:sz w:val="21"/>
        </w:rPr>
        <w:t xml:space="preserve"> / </w:t>
      </w:r>
      <w:r>
        <w:rPr>
          <w:rFonts w:ascii="Consolas" w:hAnsi="Consolas"/>
          <w:sz w:val="19"/>
        </w:rPr>
        <w:t>[CONFIRM]</w:t>
      </w:r>
      <w:r>
        <w:rPr>
          <w:rFonts w:ascii="Arial" w:hAnsi="Arial"/>
          <w:sz w:val="21"/>
        </w:rPr>
        <w:t xml:space="preserve"> blanks scattered through the compliance docs</w:t>
      </w:r>
    </w:p>
    <w:p>
      <w:pPr>
        <w:spacing w:after="120"/>
      </w:pPr>
      <w:r>
        <w:rPr>
          <w:rFonts w:ascii="Arial" w:hAnsi="Arial"/>
          <w:b/>
          <w:sz w:val="21"/>
        </w:rPr>
        <w:t>Owner:</w:t>
      </w:r>
      <w:r>
        <w:rPr>
          <w:rFonts w:ascii="Arial" w:hAnsi="Arial"/>
          <w:sz w:val="21"/>
        </w:rPr>
        <w:t xml:space="preserve"> Michael Fletcher</w:t>
      </w:r>
    </w:p>
    <w:p>
      <w:pPr>
        <w:spacing w:after="120"/>
      </w:pPr>
      <w:r>
        <w:rPr>
          <w:rFonts w:ascii="Arial" w:hAnsi="Arial"/>
          <w:b/>
          <w:sz w:val="21"/>
        </w:rPr>
        <w:t>Last updated:</w:t>
      </w:r>
      <w:r>
        <w:rPr>
          <w:rFonts w:ascii="Arial" w:hAnsi="Arial"/>
          <w:sz w:val="21"/>
        </w:rPr>
        <w:t xml:space="preserve"> 2026-07-21 (by Claude)</w:t>
      </w:r>
    </w:p>
    <w:p>
      <w:pPr>
        <w:spacing w:before="80" w:after="120"/>
        <w:ind w:left="288"/>
        <w:pBdr>
          <w:left w:val="single" w:sz="18" w:space="8" w:color="2A9D8F"/>
        </w:pBdr>
      </w:pPr>
      <w:r>
        <w:rPr>
          <w:rFonts w:ascii="Arial" w:hAnsi="Arial"/>
          <w:color w:val="555F6A"/>
          <w:sz w:val="20"/>
        </w:rPr>
        <w:t xml:space="preserve">Instead of leaving every blank open, here is a recommended value for each, with the reasoning. </w:t>
      </w:r>
      <w:r>
        <w:rPr>
          <w:rFonts w:ascii="Arial" w:hAnsi="Arial"/>
          <w:b/>
          <w:color w:val="555F6A"/>
          <w:sz w:val="20"/>
        </w:rPr>
        <w:t>Approve the ones you're happy with and I'll apply them across the docs;</w:t>
      </w:r>
      <w:r>
        <w:rPr>
          <w:rFonts w:ascii="Arial" w:hAnsi="Arial"/>
          <w:color w:val="555F6A"/>
          <w:sz w:val="20"/>
        </w:rPr>
        <w:t xml:space="preserve"> the rest are things only you can supply or must confirm externally.</w:t>
      </w:r>
    </w:p>
    <w:p>
      <w:pPr>
        <w:spacing w:before="240" w:after="80"/>
      </w:pPr>
      <w:r>
        <w:rPr>
          <w:rFonts w:ascii="Arial" w:hAnsi="Arial"/>
          <w:b/>
          <w:color w:val="1E3A5F"/>
          <w:sz w:val="27"/>
        </w:rPr>
        <w:t>A. Recommended values — just approve (I apply them)</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1E3A5F"/>
            <w:tcBorders>
              <w:top w:val="single" w:sz="4" w:space="0" w:color="C9CED3"/>
              <w:left w:val="single" w:sz="4" w:space="0" w:color="C9CED3"/>
              <w:bottom w:val="single" w:sz="4" w:space="0" w:color="C9CED3"/>
              <w:right w:val="single" w:sz="4" w:space="0" w:color="C9CED3"/>
            </w:tcBorders>
          </w:tcPr>
          <w:p>
            <w:pPr>
              <w:spacing w:after="20"/>
            </w:pPr>
            <w:r>
              <w:rPr>
                <w:rFonts w:ascii="Arial" w:hAnsi="Arial"/>
                <w:b/>
                <w:color w:val="FFFFFF"/>
                <w:sz w:val="18"/>
              </w:rPr>
              <w:t>#</w:t>
            </w:r>
          </w:p>
        </w:tc>
        <w:tc>
          <w:tcPr>
            <w:tcW w:type="dxa" w:w="1872"/>
            <w:shd w:val="clear" w:color="auto" w:fill="1E3A5F"/>
            <w:tcBorders>
              <w:top w:val="single" w:sz="4" w:space="0" w:color="C9CED3"/>
              <w:left w:val="single" w:sz="4" w:space="0" w:color="C9CED3"/>
              <w:bottom w:val="single" w:sz="4" w:space="0" w:color="C9CED3"/>
              <w:right w:val="single" w:sz="4" w:space="0" w:color="C9CED3"/>
            </w:tcBorders>
          </w:tcPr>
          <w:p>
            <w:pPr>
              <w:spacing w:after="20"/>
            </w:pPr>
            <w:r>
              <w:rPr>
                <w:rFonts w:ascii="Arial" w:hAnsi="Arial"/>
                <w:b/>
                <w:color w:val="FFFFFF"/>
                <w:sz w:val="18"/>
              </w:rPr>
              <w:t>Item</w:t>
            </w:r>
          </w:p>
        </w:tc>
        <w:tc>
          <w:tcPr>
            <w:tcW w:type="dxa" w:w="1872"/>
            <w:shd w:val="clear" w:color="auto" w:fill="1E3A5F"/>
            <w:tcBorders>
              <w:top w:val="single" w:sz="4" w:space="0" w:color="C9CED3"/>
              <w:left w:val="single" w:sz="4" w:space="0" w:color="C9CED3"/>
              <w:bottom w:val="single" w:sz="4" w:space="0" w:color="C9CED3"/>
              <w:right w:val="single" w:sz="4" w:space="0" w:color="C9CED3"/>
            </w:tcBorders>
          </w:tcPr>
          <w:p>
            <w:pPr>
              <w:spacing w:after="20"/>
            </w:pPr>
            <w:r>
              <w:rPr>
                <w:rFonts w:ascii="Arial" w:hAnsi="Arial"/>
                <w:b/>
                <w:color w:val="FFFFFF"/>
                <w:sz w:val="18"/>
              </w:rPr>
              <w:t>Doc</w:t>
            </w:r>
          </w:p>
        </w:tc>
        <w:tc>
          <w:tcPr>
            <w:tcW w:type="dxa" w:w="1872"/>
            <w:shd w:val="clear" w:color="auto" w:fill="1E3A5F"/>
            <w:tcBorders>
              <w:top w:val="single" w:sz="4" w:space="0" w:color="C9CED3"/>
              <w:left w:val="single" w:sz="4" w:space="0" w:color="C9CED3"/>
              <w:bottom w:val="single" w:sz="4" w:space="0" w:color="C9CED3"/>
              <w:right w:val="single" w:sz="4" w:space="0" w:color="C9CED3"/>
            </w:tcBorders>
          </w:tcPr>
          <w:p>
            <w:pPr>
              <w:spacing w:after="20"/>
            </w:pPr>
            <w:r>
              <w:rPr>
                <w:rFonts w:ascii="Arial" w:hAnsi="Arial"/>
                <w:b/>
                <w:color w:val="FFFFFF"/>
                <w:sz w:val="18"/>
              </w:rPr>
              <w:t>Recommended value</w:t>
            </w:r>
          </w:p>
        </w:tc>
        <w:tc>
          <w:tcPr>
            <w:tcW w:type="dxa" w:w="1872"/>
            <w:shd w:val="clear" w:color="auto" w:fill="1E3A5F"/>
            <w:tcBorders>
              <w:top w:val="single" w:sz="4" w:space="0" w:color="C9CED3"/>
              <w:left w:val="single" w:sz="4" w:space="0" w:color="C9CED3"/>
              <w:bottom w:val="single" w:sz="4" w:space="0" w:color="C9CED3"/>
              <w:right w:val="single" w:sz="4" w:space="0" w:color="C9CED3"/>
            </w:tcBorders>
          </w:tcPr>
          <w:p>
            <w:pPr>
              <w:spacing w:after="20"/>
            </w:pPr>
            <w:r>
              <w:rPr>
                <w:rFonts w:ascii="Arial" w:hAnsi="Arial"/>
                <w:b/>
                <w:color w:val="FFFFFF"/>
                <w:sz w:val="18"/>
              </w:rPr>
              <w:t>Why</w:t>
            </w:r>
          </w:p>
        </w:tc>
      </w:tr>
      <w:tr>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1</w:t>
            </w:r>
          </w:p>
        </w:tc>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Data deletion after request/termination</w:t>
            </w:r>
          </w:p>
        </w:tc>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02, 17</w:t>
            </w:r>
          </w:p>
        </w:tc>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Arial" w:hAnsi="Arial"/>
                <w:b/>
                <w:sz w:val="18"/>
              </w:rPr>
              <w:t>30 days</w:t>
            </w:r>
          </w:p>
        </w:tc>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Matches your already-published privacy page; industry-normal</w:t>
            </w:r>
          </w:p>
        </w:tc>
      </w:tr>
      <w:tr>
        <w:tc>
          <w:tcPr>
            <w:tcW w:type="dxa" w:w="1872"/>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2</w:t>
            </w:r>
          </w:p>
        </w:tc>
        <w:tc>
          <w:tcPr>
            <w:tcW w:type="dxa" w:w="1872"/>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Inactive-account deletion</w:t>
            </w:r>
          </w:p>
        </w:tc>
        <w:tc>
          <w:tcPr>
            <w:tcW w:type="dxa" w:w="1872"/>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02, 17</w:t>
            </w:r>
          </w:p>
        </w:tc>
        <w:tc>
          <w:tcPr>
            <w:tcW w:type="dxa" w:w="1872"/>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b/>
                <w:sz w:val="18"/>
              </w:rPr>
              <w:t>12 months</w:t>
            </w:r>
            <w:r>
              <w:rPr>
                <w:rFonts w:ascii="Arial" w:hAnsi="Arial"/>
                <w:sz w:val="18"/>
              </w:rPr>
              <w:t xml:space="preserve"> of non-use, after notice</w:t>
            </w:r>
          </w:p>
        </w:tc>
        <w:tc>
          <w:tcPr>
            <w:tcW w:type="dxa" w:w="1872"/>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Matches your published page</w:t>
            </w:r>
          </w:p>
        </w:tc>
      </w:tr>
      <w:tr>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3</w:t>
            </w:r>
          </w:p>
        </w:tc>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Backup retention window</w:t>
            </w:r>
          </w:p>
        </w:tc>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02, 12, 17</w:t>
            </w:r>
          </w:p>
        </w:tc>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Arial" w:hAnsi="Arial"/>
                <w:b/>
                <w:sz w:val="18"/>
              </w:rPr>
              <w:t>90 days</w:t>
            </w:r>
            <w:r>
              <w:rPr>
                <w:rFonts w:ascii="Arial" w:hAnsi="Arial"/>
                <w:sz w:val="18"/>
              </w:rPr>
              <w:t xml:space="preserve"> (encrypted), then overwritten</w:t>
            </w:r>
          </w:p>
        </w:tc>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Matches your published page; confirm against Supabase Pro (row C)</w:t>
            </w:r>
          </w:p>
        </w:tc>
      </w:tr>
      <w:tr>
        <w:tc>
          <w:tcPr>
            <w:tcW w:type="dxa" w:w="1872"/>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4</w:t>
            </w:r>
          </w:p>
        </w:tc>
        <w:tc>
          <w:tcPr>
            <w:tcW w:type="dxa" w:w="1872"/>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Staff/user account deletion after request</w:t>
            </w:r>
          </w:p>
        </w:tc>
        <w:tc>
          <w:tcPr>
            <w:tcW w:type="dxa" w:w="1872"/>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02</w:t>
            </w:r>
          </w:p>
        </w:tc>
        <w:tc>
          <w:tcPr>
            <w:tcW w:type="dxa" w:w="1872"/>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b/>
                <w:sz w:val="18"/>
              </w:rPr>
              <w:t>30 days</w:t>
            </w:r>
          </w:p>
        </w:tc>
        <w:tc>
          <w:tcPr>
            <w:tcW w:type="dxa" w:w="1872"/>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Consistent with row 1</w:t>
            </w:r>
          </w:p>
        </w:tc>
      </w:tr>
      <w:tr>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5</w:t>
            </w:r>
          </w:p>
        </w:tc>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Feedback retention</w:t>
            </w:r>
          </w:p>
        </w:tc>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02</w:t>
            </w:r>
          </w:p>
        </w:tc>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Arial" w:hAnsi="Arial"/>
                <w:b/>
                <w:sz w:val="18"/>
              </w:rPr>
              <w:t>24 months</w:t>
            </w:r>
          </w:p>
        </w:tc>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Long enough to act on; not indefinite</w:t>
            </w:r>
          </w:p>
        </w:tc>
      </w:tr>
      <w:tr>
        <w:tc>
          <w:tcPr>
            <w:tcW w:type="dxa" w:w="1872"/>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6</w:t>
            </w:r>
          </w:p>
        </w:tc>
        <w:tc>
          <w:tcPr>
            <w:tcW w:type="dxa" w:w="1872"/>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Marketing (contact/newsletter) retention</w:t>
            </w:r>
          </w:p>
        </w:tc>
        <w:tc>
          <w:tcPr>
            <w:tcW w:type="dxa" w:w="1872"/>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02</w:t>
            </w:r>
          </w:p>
        </w:tc>
        <w:tc>
          <w:tcPr>
            <w:tcW w:type="dxa" w:w="1872"/>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 xml:space="preserve">Until unsubscribe; purge after </w:t>
            </w:r>
            <w:r>
              <w:rPr>
                <w:rFonts w:ascii="Arial" w:hAnsi="Arial"/>
                <w:b/>
                <w:sz w:val="18"/>
              </w:rPr>
              <w:t>24 months</w:t>
            </w:r>
            <w:r>
              <w:rPr>
                <w:rFonts w:ascii="Arial" w:hAnsi="Arial"/>
                <w:sz w:val="18"/>
              </w:rPr>
              <w:t xml:space="preserve"> inactive</w:t>
            </w:r>
          </w:p>
        </w:tc>
        <w:tc>
          <w:tcPr>
            <w:tcW w:type="dxa" w:w="1872"/>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Honors opt-out; avoids stale PII</w:t>
            </w:r>
          </w:p>
        </w:tc>
      </w:tr>
      <w:tr>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7</w:t>
            </w:r>
          </w:p>
        </w:tc>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Error-log retention</w:t>
            </w:r>
          </w:p>
        </w:tc>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02</w:t>
            </w:r>
          </w:p>
        </w:tc>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Arial" w:hAnsi="Arial"/>
                <w:b/>
                <w:sz w:val="18"/>
              </w:rPr>
              <w:t>90 days</w:t>
            </w:r>
          </w:p>
        </w:tc>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Enough for debugging; keeps PII exposure short</w:t>
            </w:r>
          </w:p>
        </w:tc>
      </w:tr>
      <w:tr>
        <w:tc>
          <w:tcPr>
            <w:tcW w:type="dxa" w:w="1872"/>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8</w:t>
            </w:r>
          </w:p>
        </w:tc>
        <w:tc>
          <w:tcPr>
            <w:tcW w:type="dxa" w:w="1872"/>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Anonymous analytics retention</w:t>
            </w:r>
          </w:p>
        </w:tc>
        <w:tc>
          <w:tcPr>
            <w:tcW w:type="dxa" w:w="1872"/>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02</w:t>
            </w:r>
          </w:p>
        </w:tc>
        <w:tc>
          <w:tcPr>
            <w:tcW w:type="dxa" w:w="1872"/>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b/>
                <w:sz w:val="18"/>
              </w:rPr>
              <w:t>24 months</w:t>
            </w:r>
          </w:p>
        </w:tc>
        <w:tc>
          <w:tcPr>
            <w:tcW w:type="dxa" w:w="1872"/>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Product trend analysis; no personal data anyway</w:t>
            </w:r>
          </w:p>
        </w:tc>
      </w:tr>
      <w:tr>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9</w:t>
            </w:r>
          </w:p>
        </w:tc>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Individual data-request turnaround</w:t>
            </w:r>
          </w:p>
        </w:tc>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02, 14</w:t>
            </w:r>
          </w:p>
        </w:tc>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Arial" w:hAnsi="Arial"/>
                <w:b/>
                <w:sz w:val="18"/>
              </w:rPr>
              <w:t>15 business days</w:t>
            </w:r>
          </w:p>
        </w:tc>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Reasonable; beats most state deadlines</w:t>
            </w:r>
          </w:p>
        </w:tc>
      </w:tr>
      <w:tr>
        <w:tc>
          <w:tcPr>
            <w:tcW w:type="dxa" w:w="1872"/>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10</w:t>
            </w:r>
          </w:p>
        </w:tc>
        <w:tc>
          <w:tcPr>
            <w:tcW w:type="dxa" w:w="1872"/>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 xml:space="preserve">Disaster-recovery </w:t>
            </w:r>
            <w:r>
              <w:rPr>
                <w:rFonts w:ascii="Arial" w:hAnsi="Arial"/>
                <w:b/>
                <w:sz w:val="18"/>
              </w:rPr>
              <w:t>RTO</w:t>
            </w:r>
          </w:p>
        </w:tc>
        <w:tc>
          <w:tcPr>
            <w:tcW w:type="dxa" w:w="1872"/>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12</w:t>
            </w:r>
          </w:p>
        </w:tc>
        <w:tc>
          <w:tcPr>
            <w:tcW w:type="dxa" w:w="1872"/>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b/>
                <w:sz w:val="18"/>
              </w:rPr>
              <w:t>24 hours</w:t>
            </w:r>
          </w:p>
        </w:tc>
        <w:tc>
          <w:tcPr>
            <w:tcW w:type="dxa" w:w="1872"/>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Realistic for a solo-run SaaS with no student data at stake</w:t>
            </w:r>
          </w:p>
        </w:tc>
      </w:tr>
      <w:tr>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11</w:t>
            </w:r>
          </w:p>
        </w:tc>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 xml:space="preserve">Disaster-recovery </w:t>
            </w:r>
            <w:r>
              <w:rPr>
                <w:rFonts w:ascii="Arial" w:hAnsi="Arial"/>
                <w:b/>
                <w:sz w:val="18"/>
              </w:rPr>
              <w:t>RPO</w:t>
            </w:r>
          </w:p>
        </w:tc>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12</w:t>
            </w:r>
          </w:p>
        </w:tc>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Arial" w:hAnsi="Arial"/>
                <w:b/>
                <w:sz w:val="18"/>
              </w:rPr>
              <w:t>24 hours</w:t>
            </w:r>
            <w:r>
              <w:rPr>
                <w:rFonts w:ascii="Arial" w:hAnsi="Arial"/>
                <w:sz w:val="18"/>
              </w:rPr>
              <w:t xml:space="preserve"> (≤ backup cadence)</w:t>
            </w:r>
          </w:p>
        </w:tc>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Ties to the backup window</w:t>
            </w:r>
          </w:p>
        </w:tc>
      </w:tr>
      <w:tr>
        <w:tc>
          <w:tcPr>
            <w:tcW w:type="dxa" w:w="1872"/>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12</w:t>
            </w:r>
          </w:p>
        </w:tc>
        <w:tc>
          <w:tcPr>
            <w:tcW w:type="dxa" w:w="1872"/>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Governing law / venue</w:t>
            </w:r>
          </w:p>
        </w:tc>
        <w:tc>
          <w:tcPr>
            <w:tcW w:type="dxa" w:w="1872"/>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09, 19, 10</w:t>
            </w:r>
          </w:p>
        </w:tc>
        <w:tc>
          <w:tcPr>
            <w:tcW w:type="dxa" w:w="1872"/>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b/>
                <w:sz w:val="18"/>
              </w:rPr>
              <w:t>State of Oregon</w:t>
            </w:r>
          </w:p>
        </w:tc>
        <w:tc>
          <w:tcPr>
            <w:tcW w:type="dxa" w:w="1872"/>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Your home state (Portland); attorney to confirm</w:t>
            </w:r>
          </w:p>
        </w:tc>
      </w:tr>
      <w:tr>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13</w:t>
            </w:r>
          </w:p>
        </w:tc>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Free launch period</w:t>
            </w:r>
          </w:p>
        </w:tc>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17, 19</w:t>
            </w:r>
          </w:p>
        </w:tc>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Arial" w:hAnsi="Arial"/>
                <w:b/>
                <w:sz w:val="18"/>
              </w:rPr>
              <w:t>Free through Sept 30, 2026</w:t>
            </w:r>
            <w:r>
              <w:rPr>
                <w:rFonts w:ascii="Arial" w:hAnsi="Arial"/>
                <w:sz w:val="18"/>
              </w:rPr>
              <w:t>, 60-day notice before any change</w:t>
            </w:r>
          </w:p>
        </w:tc>
        <w:tc>
          <w:tcPr>
            <w:tcW w:type="dxa" w:w="1872"/>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Already your public commitment</w:t>
            </w:r>
          </w:p>
        </w:tc>
      </w:tr>
    </w:tbl>
    <w:p>
      <w:pPr>
        <w:spacing w:before="240" w:after="80"/>
      </w:pPr>
      <w:r>
        <w:rPr>
          <w:rFonts w:ascii="Arial" w:hAnsi="Arial"/>
          <w:b/>
          <w:color w:val="1E3A5F"/>
          <w:sz w:val="27"/>
        </w:rPr>
        <w:t>B. You must supply these (I can't invent them)</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val="clear" w:color="auto" w:fill="1E3A5F"/>
            <w:tcBorders>
              <w:top w:val="single" w:sz="4" w:space="0" w:color="C9CED3"/>
              <w:left w:val="single" w:sz="4" w:space="0" w:color="C9CED3"/>
              <w:bottom w:val="single" w:sz="4" w:space="0" w:color="C9CED3"/>
              <w:right w:val="single" w:sz="4" w:space="0" w:color="C9CED3"/>
            </w:tcBorders>
          </w:tcPr>
          <w:p>
            <w:pPr>
              <w:spacing w:after="20"/>
            </w:pPr>
            <w:r>
              <w:rPr>
                <w:rFonts w:ascii="Arial" w:hAnsi="Arial"/>
                <w:b/>
                <w:color w:val="FFFFFF"/>
                <w:sz w:val="18"/>
              </w:rPr>
              <w:t>#</w:t>
            </w:r>
          </w:p>
        </w:tc>
        <w:tc>
          <w:tcPr>
            <w:tcW w:type="dxa" w:w="2340"/>
            <w:shd w:val="clear" w:color="auto" w:fill="1E3A5F"/>
            <w:tcBorders>
              <w:top w:val="single" w:sz="4" w:space="0" w:color="C9CED3"/>
              <w:left w:val="single" w:sz="4" w:space="0" w:color="C9CED3"/>
              <w:bottom w:val="single" w:sz="4" w:space="0" w:color="C9CED3"/>
              <w:right w:val="single" w:sz="4" w:space="0" w:color="C9CED3"/>
            </w:tcBorders>
          </w:tcPr>
          <w:p>
            <w:pPr>
              <w:spacing w:after="20"/>
            </w:pPr>
            <w:r>
              <w:rPr>
                <w:rFonts w:ascii="Arial" w:hAnsi="Arial"/>
                <w:b/>
                <w:color w:val="FFFFFF"/>
                <w:sz w:val="18"/>
              </w:rPr>
              <w:t>Item</w:t>
            </w:r>
          </w:p>
        </w:tc>
        <w:tc>
          <w:tcPr>
            <w:tcW w:type="dxa" w:w="2340"/>
            <w:shd w:val="clear" w:color="auto" w:fill="1E3A5F"/>
            <w:tcBorders>
              <w:top w:val="single" w:sz="4" w:space="0" w:color="C9CED3"/>
              <w:left w:val="single" w:sz="4" w:space="0" w:color="C9CED3"/>
              <w:bottom w:val="single" w:sz="4" w:space="0" w:color="C9CED3"/>
              <w:right w:val="single" w:sz="4" w:space="0" w:color="C9CED3"/>
            </w:tcBorders>
          </w:tcPr>
          <w:p>
            <w:pPr>
              <w:spacing w:after="20"/>
            </w:pPr>
            <w:r>
              <w:rPr>
                <w:rFonts w:ascii="Arial" w:hAnsi="Arial"/>
                <w:b/>
                <w:color w:val="FFFFFF"/>
                <w:sz w:val="18"/>
              </w:rPr>
              <w:t>Doc</w:t>
            </w:r>
          </w:p>
        </w:tc>
        <w:tc>
          <w:tcPr>
            <w:tcW w:type="dxa" w:w="2340"/>
            <w:shd w:val="clear" w:color="auto" w:fill="1E3A5F"/>
            <w:tcBorders>
              <w:top w:val="single" w:sz="4" w:space="0" w:color="C9CED3"/>
              <w:left w:val="single" w:sz="4" w:space="0" w:color="C9CED3"/>
              <w:bottom w:val="single" w:sz="4" w:space="0" w:color="C9CED3"/>
              <w:right w:val="single" w:sz="4" w:space="0" w:color="C9CED3"/>
            </w:tcBorders>
          </w:tcPr>
          <w:p>
            <w:pPr>
              <w:spacing w:after="20"/>
            </w:pPr>
            <w:r>
              <w:rPr>
                <w:rFonts w:ascii="Arial" w:hAnsi="Arial"/>
                <w:b/>
                <w:color w:val="FFFFFF"/>
                <w:sz w:val="18"/>
              </w:rPr>
              <w:t>What's needed</w:t>
            </w:r>
          </w:p>
        </w:tc>
      </w:tr>
      <w:tr>
        <w:tc>
          <w:tcPr>
            <w:tcW w:type="dxa" w:w="2340"/>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14</w:t>
            </w:r>
          </w:p>
        </w:tc>
        <w:tc>
          <w:tcPr>
            <w:tcW w:type="dxa" w:w="2340"/>
            <w:tcBorders>
              <w:top w:val="single" w:sz="4" w:space="0" w:color="C9CED3"/>
              <w:left w:val="single" w:sz="4" w:space="0" w:color="C9CED3"/>
              <w:bottom w:val="single" w:sz="4" w:space="0" w:color="C9CED3"/>
              <w:right w:val="single" w:sz="4" w:space="0" w:color="C9CED3"/>
            </w:tcBorders>
          </w:tcPr>
          <w:p>
            <w:pPr>
              <w:spacing w:after="20"/>
            </w:pPr>
            <w:r>
              <w:rPr>
                <w:rFonts w:ascii="Arial" w:hAnsi="Arial"/>
                <w:b/>
                <w:sz w:val="18"/>
              </w:rPr>
              <w:t>Entity name/type</w:t>
            </w:r>
          </w:p>
        </w:tc>
        <w:tc>
          <w:tcPr>
            <w:tcW w:type="dxa" w:w="2340"/>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all footers, BI-01</w:t>
            </w:r>
          </w:p>
        </w:tc>
        <w:tc>
          <w:tcPr>
            <w:tcW w:type="dxa" w:w="2340"/>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Footer says "Cohort Logic, PBC" — confirm the true legal entity and make it consistent everywhere</w:t>
            </w:r>
          </w:p>
        </w:tc>
      </w:tr>
      <w:tr>
        <w:tc>
          <w:tcPr>
            <w:tcW w:type="dxa" w:w="2340"/>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15</w:t>
            </w:r>
          </w:p>
        </w:tc>
        <w:tc>
          <w:tcPr>
            <w:tcW w:type="dxa" w:w="2340"/>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b/>
                <w:sz w:val="18"/>
              </w:rPr>
              <w:t>Contact addresses</w:t>
            </w:r>
          </w:p>
        </w:tc>
        <w:tc>
          <w:tcPr>
            <w:tcW w:type="dxa" w:w="2340"/>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08/17/19/11/14</w:t>
            </w:r>
          </w:p>
        </w:tc>
        <w:tc>
          <w:tcPr>
            <w:tcW w:type="dxa" w:w="2340"/>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 xml:space="preserve">Create + confirm </w:t>
            </w:r>
            <w:r>
              <w:rPr>
                <w:rFonts w:ascii="Consolas" w:hAnsi="Consolas"/>
                <w:sz w:val="16"/>
              </w:rPr>
              <w:t>privacy@</w:t>
            </w:r>
            <w:r>
              <w:rPr>
                <w:rFonts w:ascii="Arial" w:hAnsi="Arial"/>
                <w:sz w:val="18"/>
              </w:rPr>
              <w:t xml:space="preserve">, </w:t>
            </w:r>
            <w:r>
              <w:rPr>
                <w:rFonts w:ascii="Consolas" w:hAnsi="Consolas"/>
                <w:sz w:val="16"/>
              </w:rPr>
              <w:t>security@</w:t>
            </w:r>
            <w:r>
              <w:rPr>
                <w:rFonts w:ascii="Arial" w:hAnsi="Arial"/>
                <w:sz w:val="18"/>
              </w:rPr>
              <w:t xml:space="preserve">, </w:t>
            </w:r>
            <w:r>
              <w:rPr>
                <w:rFonts w:ascii="Consolas" w:hAnsi="Consolas"/>
                <w:sz w:val="16"/>
              </w:rPr>
              <w:t>legal@</w:t>
            </w:r>
            <w:r>
              <w:rPr>
                <w:rFonts w:ascii="Arial" w:hAnsi="Arial"/>
                <w:sz w:val="18"/>
              </w:rPr>
              <w:t xml:space="preserve"> (or point all at </w:t>
            </w:r>
            <w:r>
              <w:rPr>
                <w:rFonts w:ascii="Consolas" w:hAnsi="Consolas"/>
                <w:sz w:val="16"/>
              </w:rPr>
              <w:t>hello@</w:t>
            </w:r>
            <w:r>
              <w:rPr>
                <w:rFonts w:ascii="Arial" w:hAnsi="Arial"/>
                <w:sz w:val="18"/>
              </w:rPr>
              <w:t xml:space="preserve"> for now)</w:t>
            </w:r>
          </w:p>
        </w:tc>
      </w:tr>
      <w:tr>
        <w:tc>
          <w:tcPr>
            <w:tcW w:type="dxa" w:w="2340"/>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16</w:t>
            </w:r>
          </w:p>
        </w:tc>
        <w:tc>
          <w:tcPr>
            <w:tcW w:type="dxa" w:w="2340"/>
            <w:tcBorders>
              <w:top w:val="single" w:sz="4" w:space="0" w:color="C9CED3"/>
              <w:left w:val="single" w:sz="4" w:space="0" w:color="C9CED3"/>
              <w:bottom w:val="single" w:sz="4" w:space="0" w:color="C9CED3"/>
              <w:right w:val="single" w:sz="4" w:space="0" w:color="C9CED3"/>
            </w:tcBorders>
          </w:tcPr>
          <w:p>
            <w:pPr>
              <w:spacing w:after="20"/>
            </w:pPr>
            <w:r>
              <w:rPr>
                <w:rFonts w:ascii="Arial" w:hAnsi="Arial"/>
                <w:b/>
                <w:sz w:val="18"/>
              </w:rPr>
              <w:t>Incident-response contacts</w:t>
            </w:r>
          </w:p>
        </w:tc>
        <w:tc>
          <w:tcPr>
            <w:tcW w:type="dxa" w:w="2340"/>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04</w:t>
            </w:r>
          </w:p>
        </w:tc>
        <w:tc>
          <w:tcPr>
            <w:tcW w:type="dxa" w:w="2340"/>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Breach counsel (BI-14), cyber-insurance breach hotline + policy # (BI-04), Supabase support plan, Cloudflare support</w:t>
            </w:r>
          </w:p>
        </w:tc>
      </w:tr>
      <w:tr>
        <w:tc>
          <w:tcPr>
            <w:tcW w:type="dxa" w:w="2340"/>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17</w:t>
            </w:r>
          </w:p>
        </w:tc>
        <w:tc>
          <w:tcPr>
            <w:tcW w:type="dxa" w:w="2340"/>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b/>
                <w:sz w:val="18"/>
              </w:rPr>
              <w:t>DR key-person contact</w:t>
            </w:r>
          </w:p>
        </w:tc>
        <w:tc>
          <w:tcPr>
            <w:tcW w:type="dxa" w:w="2340"/>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12</w:t>
            </w:r>
          </w:p>
        </w:tc>
        <w:tc>
          <w:tcPr>
            <w:tcW w:type="dxa" w:w="2340"/>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Designate one trusted technical contact + document emergency access (solo-founder mitigation)</w:t>
            </w:r>
          </w:p>
        </w:tc>
      </w:tr>
      <w:tr>
        <w:tc>
          <w:tcPr>
            <w:tcW w:type="dxa" w:w="2340"/>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18</w:t>
            </w:r>
          </w:p>
        </w:tc>
        <w:tc>
          <w:tcPr>
            <w:tcW w:type="dxa" w:w="2340"/>
            <w:tcBorders>
              <w:top w:val="single" w:sz="4" w:space="0" w:color="C9CED3"/>
              <w:left w:val="single" w:sz="4" w:space="0" w:color="C9CED3"/>
              <w:bottom w:val="single" w:sz="4" w:space="0" w:color="C9CED3"/>
              <w:right w:val="single" w:sz="4" w:space="0" w:color="C9CED3"/>
            </w:tcBorders>
          </w:tcPr>
          <w:p>
            <w:pPr>
              <w:spacing w:after="20"/>
            </w:pPr>
            <w:r>
              <w:rPr>
                <w:rFonts w:ascii="Arial" w:hAnsi="Arial"/>
                <w:b/>
                <w:sz w:val="18"/>
              </w:rPr>
              <w:t>Liability cap / warranty posture</w:t>
            </w:r>
          </w:p>
        </w:tc>
        <w:tc>
          <w:tcPr>
            <w:tcW w:type="dxa" w:w="2340"/>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09/19/10</w:t>
            </w:r>
          </w:p>
        </w:tc>
        <w:tc>
          <w:tcPr>
            <w:tcW w:type="dxa" w:w="2340"/>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Attorney decision, coordinated with your insurance limits (BI-04/05)</w:t>
            </w:r>
          </w:p>
        </w:tc>
      </w:tr>
    </w:tbl>
    <w:p>
      <w:pPr>
        <w:spacing w:before="240" w:after="80"/>
      </w:pPr>
      <w:r>
        <w:rPr>
          <w:rFonts w:ascii="Arial" w:hAnsi="Arial"/>
          <w:b/>
          <w:color w:val="1E3A5F"/>
          <w:sz w:val="27"/>
        </w:rPr>
        <w:t>C. Confirm externally (then I apply)</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val="clear" w:color="auto" w:fill="1E3A5F"/>
            <w:tcBorders>
              <w:top w:val="single" w:sz="4" w:space="0" w:color="C9CED3"/>
              <w:left w:val="single" w:sz="4" w:space="0" w:color="C9CED3"/>
              <w:bottom w:val="single" w:sz="4" w:space="0" w:color="C9CED3"/>
              <w:right w:val="single" w:sz="4" w:space="0" w:color="C9CED3"/>
            </w:tcBorders>
          </w:tcPr>
          <w:p>
            <w:pPr>
              <w:spacing w:after="20"/>
            </w:pPr>
            <w:r>
              <w:rPr>
                <w:rFonts w:ascii="Arial" w:hAnsi="Arial"/>
                <w:b/>
                <w:color w:val="FFFFFF"/>
                <w:sz w:val="18"/>
              </w:rPr>
              <w:t>#</w:t>
            </w:r>
          </w:p>
        </w:tc>
        <w:tc>
          <w:tcPr>
            <w:tcW w:type="dxa" w:w="2340"/>
            <w:shd w:val="clear" w:color="auto" w:fill="1E3A5F"/>
            <w:tcBorders>
              <w:top w:val="single" w:sz="4" w:space="0" w:color="C9CED3"/>
              <w:left w:val="single" w:sz="4" w:space="0" w:color="C9CED3"/>
              <w:bottom w:val="single" w:sz="4" w:space="0" w:color="C9CED3"/>
              <w:right w:val="single" w:sz="4" w:space="0" w:color="C9CED3"/>
            </w:tcBorders>
          </w:tcPr>
          <w:p>
            <w:pPr>
              <w:spacing w:after="20"/>
            </w:pPr>
            <w:r>
              <w:rPr>
                <w:rFonts w:ascii="Arial" w:hAnsi="Arial"/>
                <w:b/>
                <w:color w:val="FFFFFF"/>
                <w:sz w:val="18"/>
              </w:rPr>
              <w:t>Item</w:t>
            </w:r>
          </w:p>
        </w:tc>
        <w:tc>
          <w:tcPr>
            <w:tcW w:type="dxa" w:w="2340"/>
            <w:shd w:val="clear" w:color="auto" w:fill="1E3A5F"/>
            <w:tcBorders>
              <w:top w:val="single" w:sz="4" w:space="0" w:color="C9CED3"/>
              <w:left w:val="single" w:sz="4" w:space="0" w:color="C9CED3"/>
              <w:bottom w:val="single" w:sz="4" w:space="0" w:color="C9CED3"/>
              <w:right w:val="single" w:sz="4" w:space="0" w:color="C9CED3"/>
            </w:tcBorders>
          </w:tcPr>
          <w:p>
            <w:pPr>
              <w:spacing w:after="20"/>
            </w:pPr>
            <w:r>
              <w:rPr>
                <w:rFonts w:ascii="Arial" w:hAnsi="Arial"/>
                <w:b/>
                <w:color w:val="FFFFFF"/>
                <w:sz w:val="18"/>
              </w:rPr>
              <w:t>Doc</w:t>
            </w:r>
          </w:p>
        </w:tc>
        <w:tc>
          <w:tcPr>
            <w:tcW w:type="dxa" w:w="2340"/>
            <w:shd w:val="clear" w:color="auto" w:fill="1E3A5F"/>
            <w:tcBorders>
              <w:top w:val="single" w:sz="4" w:space="0" w:color="C9CED3"/>
              <w:left w:val="single" w:sz="4" w:space="0" w:color="C9CED3"/>
              <w:bottom w:val="single" w:sz="4" w:space="0" w:color="C9CED3"/>
              <w:right w:val="single" w:sz="4" w:space="0" w:color="C9CED3"/>
            </w:tcBorders>
          </w:tcPr>
          <w:p>
            <w:pPr>
              <w:spacing w:after="20"/>
            </w:pPr>
            <w:r>
              <w:rPr>
                <w:rFonts w:ascii="Arial" w:hAnsi="Arial"/>
                <w:b/>
                <w:color w:val="FFFFFF"/>
                <w:sz w:val="18"/>
              </w:rPr>
              <w:t>How to confirm</w:t>
            </w:r>
          </w:p>
        </w:tc>
      </w:tr>
      <w:tr>
        <w:tc>
          <w:tcPr>
            <w:tcW w:type="dxa" w:w="2340"/>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19</w:t>
            </w:r>
          </w:p>
        </w:tc>
        <w:tc>
          <w:tcPr>
            <w:tcW w:type="dxa" w:w="2340"/>
            <w:tcBorders>
              <w:top w:val="single" w:sz="4" w:space="0" w:color="C9CED3"/>
              <w:left w:val="single" w:sz="4" w:space="0" w:color="C9CED3"/>
              <w:bottom w:val="single" w:sz="4" w:space="0" w:color="C9CED3"/>
              <w:right w:val="single" w:sz="4" w:space="0" w:color="C9CED3"/>
            </w:tcBorders>
          </w:tcPr>
          <w:p>
            <w:pPr>
              <w:spacing w:after="20"/>
            </w:pPr>
            <w:r>
              <w:rPr>
                <w:rFonts w:ascii="Arial" w:hAnsi="Arial"/>
                <w:b/>
                <w:sz w:val="18"/>
              </w:rPr>
              <w:t>Supabase data region = US</w:t>
            </w:r>
          </w:p>
        </w:tc>
        <w:tc>
          <w:tcPr>
            <w:tcW w:type="dxa" w:w="2340"/>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01/08/17/18, FE-06</w:t>
            </w:r>
          </w:p>
        </w:tc>
        <w:tc>
          <w:tcPr>
            <w:tcW w:type="dxa" w:w="2340"/>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Supabase dashboard → project settings → region</w:t>
            </w:r>
          </w:p>
        </w:tc>
      </w:tr>
      <w:tr>
        <w:tc>
          <w:tcPr>
            <w:tcW w:type="dxa" w:w="2340"/>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20</w:t>
            </w:r>
          </w:p>
        </w:tc>
        <w:tc>
          <w:tcPr>
            <w:tcW w:type="dxa" w:w="2340"/>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b/>
                <w:sz w:val="18"/>
              </w:rPr>
              <w:t>Backup/PITR window</w:t>
            </w:r>
          </w:p>
        </w:tc>
        <w:tc>
          <w:tcPr>
            <w:tcW w:type="dxa" w:w="2340"/>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12, SE-08</w:t>
            </w:r>
          </w:p>
        </w:tc>
        <w:tc>
          <w:tcPr>
            <w:tcW w:type="dxa" w:w="2340"/>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 xml:space="preserve">Enable Supabase </w:t>
            </w:r>
            <w:r>
              <w:rPr>
                <w:rFonts w:ascii="Arial" w:hAnsi="Arial"/>
                <w:b/>
                <w:sz w:val="18"/>
              </w:rPr>
              <w:t>Pro</w:t>
            </w:r>
            <w:r>
              <w:rPr>
                <w:rFonts w:ascii="Arial" w:hAnsi="Arial"/>
                <w:sz w:val="18"/>
              </w:rPr>
              <w:t>, then read the actual PITR retention (row 3 assumes 90-day encrypted backups; PITR is typically a shorter window — reconcile)</w:t>
            </w:r>
          </w:p>
        </w:tc>
      </w:tr>
      <w:tr>
        <w:tc>
          <w:tcPr>
            <w:tcW w:type="dxa" w:w="2340"/>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21</w:t>
            </w:r>
          </w:p>
        </w:tc>
        <w:tc>
          <w:tcPr>
            <w:tcW w:type="dxa" w:w="2340"/>
            <w:tcBorders>
              <w:top w:val="single" w:sz="4" w:space="0" w:color="C9CED3"/>
              <w:left w:val="single" w:sz="4" w:space="0" w:color="C9CED3"/>
              <w:bottom w:val="single" w:sz="4" w:space="0" w:color="C9CED3"/>
              <w:right w:val="single" w:sz="4" w:space="0" w:color="C9CED3"/>
            </w:tcBorders>
          </w:tcPr>
          <w:p>
            <w:pPr>
              <w:spacing w:after="20"/>
            </w:pPr>
            <w:r>
              <w:rPr>
                <w:rFonts w:ascii="Arial" w:hAnsi="Arial"/>
                <w:b/>
                <w:sz w:val="18"/>
              </w:rPr>
              <w:t>Encryption-at-rest wording</w:t>
            </w:r>
          </w:p>
        </w:tc>
        <w:tc>
          <w:tcPr>
            <w:tcW w:type="dxa" w:w="2340"/>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08/17/18</w:t>
            </w:r>
          </w:p>
        </w:tc>
        <w:tc>
          <w:tcPr>
            <w:tcW w:type="dxa" w:w="2340"/>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Supabase/AWS attestation language (FE-09/SE-09)</w:t>
            </w:r>
          </w:p>
        </w:tc>
      </w:tr>
    </w:tbl>
    <w:p>
      <w:pPr>
        <w:spacing w:before="160" w:after="60"/>
      </w:pPr>
      <w:r>
        <w:rPr>
          <w:rFonts w:ascii="Arial" w:hAnsi="Arial"/>
          <w:b/>
          <w:color w:val="2A9D8F"/>
          <w:sz w:val="23"/>
        </w:rPr>
        <w:t>How to use this</w:t>
      </w:r>
    </w:p>
    <w:p>
      <w:pPr>
        <w:spacing w:after="120"/>
      </w:pPr>
      <w:r>
        <w:rPr>
          <w:rFonts w:ascii="Arial" w:hAnsi="Arial"/>
          <w:sz w:val="21"/>
        </w:rPr>
        <w:t>Reply with which A-rows you approve (or "all of A"), supply what you can from B, and I'll fill every matching blank across docs 02, 04, 12, 14, 17, 18, 19 in one pass and regenerate them. B/C items I'll leave as clearly-marked placeholders until you have them.</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