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Trust / Security Page Content (DRAFT)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PR-10 (feeds VQ-01..18 questionnaire readiness)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content — to be ported into </w:t>
      </w:r>
      <w:r>
        <w:rPr>
          <w:rFonts w:ascii="Consolas" w:hAnsi="Consolas"/>
          <w:sz w:val="19"/>
        </w:rPr>
        <w:t>public/security.html</w:t>
      </w:r>
      <w:r>
        <w:rPr>
          <w:rFonts w:ascii="Arial" w:hAnsi="Arial"/>
          <w:sz w:val="21"/>
        </w:rPr>
        <w:t xml:space="preserve"> in the later website batch. The live page is NOT yet changed.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This is the </w:t>
      </w:r>
      <w:r>
        <w:rPr>
          <w:rFonts w:ascii="Arial" w:hAnsi="Arial"/>
          <w:b/>
          <w:color w:val="555F6A"/>
          <w:sz w:val="20"/>
        </w:rPr>
        <w:t>copy</w:t>
      </w:r>
      <w:r>
        <w:rPr>
          <w:rFonts w:ascii="Arial" w:hAnsi="Arial"/>
          <w:color w:val="555F6A"/>
          <w:sz w:val="20"/>
        </w:rPr>
        <w:t xml:space="preserve"> for a product-aware Trust page. Keep the existing page's clean design and its honest voice; swap the content. The goal: a public page that pre-answers most of a district's security questionnaire.</w:t>
      </w:r>
    </w:p>
    <w:p>
      <w:pPr>
        <w:spacing w:after="120"/>
      </w:pPr>
      <w:r>
        <w:rPr>
          <w:rFonts w:ascii="Arial" w:hAnsi="Arial"/>
          <w:sz w:val="21"/>
        </w:rPr>
        <w:t>&gt;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b/>
          <w:color w:val="555F6A"/>
          <w:sz w:val="20"/>
        </w:rPr>
        <w:t>⚠️ SCOPE UPDATE (2026-07-21):</w:t>
      </w:r>
      <w:r>
        <w:rPr>
          <w:rFonts w:ascii="Arial" w:hAnsi="Arial"/>
          <w:color w:val="555F6A"/>
          <w:sz w:val="20"/>
        </w:rPr>
        <w:t xml:space="preserve"> launch is </w:t>
      </w:r>
      <w:r>
        <w:rPr>
          <w:rFonts w:ascii="Arial" w:hAnsi="Arial"/>
          <w:b/>
          <w:color w:val="555F6A"/>
          <w:sz w:val="20"/>
        </w:rPr>
        <w:t>Class Builder + Schedule Builder only</w:t>
      </w:r>
      <w:r>
        <w:rPr>
          <w:rFonts w:ascii="Arial" w:hAnsi="Arial"/>
          <w:color w:val="555F6A"/>
          <w:sz w:val="20"/>
        </w:rPr>
        <w:t xml:space="preserve"> (</w:t>
      </w:r>
      <w:r>
        <w:rPr>
          <w:rFonts w:ascii="Consolas" w:hAnsi="Consolas"/>
          <w:color w:val="555F6A"/>
          <w:sz w:val="18"/>
        </w:rPr>
        <w:t>16_Go_To_Market_Scope.md</w:t>
      </w:r>
      <w:r>
        <w:rPr>
          <w:rFonts w:ascii="Arial" w:hAnsi="Arial"/>
          <w:color w:val="555F6A"/>
          <w:sz w:val="20"/>
        </w:rPr>
        <w:t xml:space="preserve">) — </w:t>
      </w:r>
      <w:r>
        <w:rPr>
          <w:rFonts w:ascii="Arial" w:hAnsi="Arial"/>
          <w:b/>
          <w:color w:val="555F6A"/>
          <w:sz w:val="20"/>
        </w:rPr>
        <w:t>both browser-only, no student data stored on our servers.</w:t>
      </w:r>
      <w:r>
        <w:rPr>
          <w:rFonts w:ascii="Arial" w:hAnsi="Arial"/>
          <w:color w:val="555F6A"/>
          <w:sz w:val="20"/>
        </w:rPr>
        <w:t xml:space="preserve"> So the launch page should lead hard with that single message and present the "database-backed tools" section as </w:t>
      </w:r>
      <w:r>
        <w:rPr>
          <w:rFonts w:ascii="Arial" w:hAnsi="Arial"/>
          <w:b/>
          <w:color w:val="555F6A"/>
          <w:sz w:val="20"/>
        </w:rPr>
        <w:t>coming later / not yet offered</w:t>
      </w:r>
      <w:r>
        <w:rPr>
          <w:rFonts w:ascii="Arial" w:hAnsi="Arial"/>
          <w:color w:val="555F6A"/>
          <w:sz w:val="20"/>
        </w:rPr>
        <w:t>, not as live. The full two-model content below becomes accurate once CICO/Referrals ship (Phase 2). Until then, trim the database-backed claims to "planned."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⚠️ Reviewer notes — read first (not page content)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The core reframe.</w:t>
      </w:r>
      <w:r>
        <w:rPr>
          <w:rFonts w:ascii="Arial" w:hAnsi="Arial"/>
          <w:sz w:val="21"/>
        </w:rPr>
        <w:t xml:space="preserve"> The current page is built around "we don't save your data / anonymize before uploading." That's true for </w:t>
      </w:r>
      <w:r>
        <w:rPr>
          <w:rFonts w:ascii="Arial" w:hAnsi="Arial"/>
          <w:b/>
          <w:sz w:val="21"/>
        </w:rPr>
        <w:t>Class Builder + Schedule Builder</w:t>
      </w:r>
      <w:r>
        <w:rPr>
          <w:rFonts w:ascii="Arial" w:hAnsi="Arial"/>
          <w:sz w:val="21"/>
        </w:rPr>
        <w:t xml:space="preserve"> (browser-only, nothing stored) but </w:t>
      </w:r>
      <w:r>
        <w:rPr>
          <w:rFonts w:ascii="Arial" w:hAnsi="Arial"/>
          <w:b/>
          <w:sz w:val="21"/>
        </w:rPr>
        <w:t>wrong for CICO + Referral Tracking</w:t>
      </w:r>
      <w:r>
        <w:rPr>
          <w:rFonts w:ascii="Arial" w:hAnsi="Arial"/>
          <w:sz w:val="21"/>
        </w:rPr>
        <w:t>, which are *designed* to store real student names and records under FERPA. The new structure below splits the two clearly so we don't tell a CICO district to "anonymize."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Honesty preserved.</w:t>
      </w:r>
      <w:r>
        <w:rPr>
          <w:rFonts w:ascii="Arial" w:hAnsi="Arial"/>
          <w:sz w:val="21"/>
        </w:rPr>
        <w:t xml:space="preserve"> Keep the "what we don't have yet" section (SOC 2, pen test, signed DPAs). It builds trust. Update each item as it becomes real — never before.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Entity discrepancy to resolve (BI-01):</w:t>
      </w:r>
      <w:r>
        <w:rPr>
          <w:rFonts w:ascii="Arial" w:hAnsi="Arial"/>
          <w:sz w:val="21"/>
        </w:rPr>
        <w:t xml:space="preserve"> the footer says </w:t>
      </w:r>
      <w:r>
        <w:rPr>
          <w:rFonts w:ascii="Arial" w:hAnsi="Arial"/>
          <w:b/>
          <w:sz w:val="21"/>
        </w:rPr>
        <w:t>"Cohort Logic, PBC"</w:t>
      </w:r>
      <w:r>
        <w:rPr>
          <w:rFonts w:ascii="Arial" w:hAnsi="Arial"/>
          <w:sz w:val="21"/>
        </w:rPr>
        <w:t>; other materials imply an LLC. Confirm the true legal entity and make it consistent everywhere before this page ships.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Fix the dead links:</w:t>
      </w:r>
      <w:r>
        <w:rPr>
          <w:rFonts w:ascii="Arial" w:hAnsi="Arial"/>
          <w:sz w:val="21"/>
        </w:rPr>
        <w:t xml:space="preserve"> footer "Terms" and "DPA" are </w:t>
      </w:r>
      <w:r>
        <w:rPr>
          <w:rFonts w:ascii="Consolas" w:hAnsi="Consolas"/>
          <w:sz w:val="19"/>
        </w:rPr>
        <w:t>href="#"</w:t>
      </w:r>
      <w:r>
        <w:rPr>
          <w:rFonts w:ascii="Arial" w:hAnsi="Arial"/>
          <w:sz w:val="21"/>
        </w:rPr>
        <w:t>. Wire them when the ToS (</w:t>
      </w:r>
      <w:r>
        <w:rPr>
          <w:rFonts w:ascii="Consolas" w:hAnsi="Consolas"/>
          <w:sz w:val="19"/>
        </w:rPr>
        <w:t>09_...</w:t>
      </w:r>
      <w:r>
        <w:rPr>
          <w:rFonts w:ascii="Arial" w:hAnsi="Arial"/>
          <w:sz w:val="21"/>
        </w:rPr>
        <w:t>) and DPA (</w:t>
      </w:r>
      <w:r>
        <w:rPr>
          <w:rFonts w:ascii="Consolas" w:hAnsi="Consolas"/>
          <w:sz w:val="19"/>
        </w:rPr>
        <w:t>07_...</w:t>
      </w:r>
      <w:r>
        <w:rPr>
          <w:rFonts w:ascii="Arial" w:hAnsi="Arial"/>
          <w:sz w:val="21"/>
        </w:rPr>
        <w:t>) pages/exhibits exist.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Confirm-before-publish claims (don't state until verified):</w:t>
      </w:r>
      <w:r>
        <w:rPr>
          <w:rFonts w:ascii="Arial" w:hAnsi="Arial"/>
          <w:sz w:val="21"/>
        </w:rPr>
        <w:t xml:space="preserve"> Supabase </w:t>
      </w:r>
      <w:r>
        <w:rPr>
          <w:rFonts w:ascii="Arial" w:hAnsi="Arial"/>
          <w:b/>
          <w:sz w:val="21"/>
        </w:rPr>
        <w:t>US region</w:t>
      </w:r>
      <w:r>
        <w:rPr>
          <w:rFonts w:ascii="Arial" w:hAnsi="Arial"/>
          <w:sz w:val="21"/>
        </w:rPr>
        <w:t xml:space="preserve"> (FE-06) and the exact </w:t>
      </w:r>
      <w:r>
        <w:rPr>
          <w:rFonts w:ascii="Arial" w:hAnsi="Arial"/>
          <w:b/>
          <w:sz w:val="21"/>
        </w:rPr>
        <w:t>encryption-at-rest</w:t>
      </w:r>
      <w:r>
        <w:rPr>
          <w:rFonts w:ascii="Arial" w:hAnsi="Arial"/>
          <w:sz w:val="21"/>
        </w:rPr>
        <w:t xml:space="preserve"> wording (FE-09/SE-09). Only claim MFA as *available* until enforcement ships (SE-05).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PAGE CONTENT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Hero</w:t>
      </w:r>
    </w:p>
    <w:p>
      <w:pPr>
        <w:spacing w:after="120"/>
      </w:pPr>
      <w:r>
        <w:rPr>
          <w:rFonts w:ascii="Arial" w:hAnsi="Arial"/>
          <w:b/>
          <w:sz w:val="21"/>
        </w:rPr>
        <w:t>Eyebrow:</w:t>
      </w:r>
      <w:r>
        <w:rPr>
          <w:rFonts w:ascii="Arial" w:hAnsi="Arial"/>
          <w:sz w:val="21"/>
        </w:rPr>
        <w:t xml:space="preserve"> Trust &amp; security</w:t>
      </w:r>
    </w:p>
    <w:p>
      <w:pPr>
        <w:spacing w:after="120"/>
      </w:pPr>
      <w:r>
        <w:rPr>
          <w:rFonts w:ascii="Arial" w:hAnsi="Arial"/>
          <w:b/>
          <w:sz w:val="21"/>
        </w:rPr>
        <w:t>Headline:</w:t>
      </w:r>
      <w:r>
        <w:rPr>
          <w:rFonts w:ascii="Arial" w:hAnsi="Arial"/>
          <w:sz w:val="21"/>
        </w:rPr>
        <w:t xml:space="preserve"> Built for student data, honest about where we are.</w:t>
      </w:r>
    </w:p>
    <w:p>
      <w:pPr>
        <w:spacing w:after="120"/>
      </w:pPr>
      <w:r>
        <w:rPr>
          <w:rFonts w:ascii="Arial" w:hAnsi="Arial"/>
          <w:b/>
          <w:sz w:val="21"/>
        </w:rPr>
        <w:t>Subhead:</w:t>
      </w:r>
      <w:r>
        <w:rPr>
          <w:rFonts w:ascii="Arial" w:hAnsi="Arial"/>
          <w:sz w:val="21"/>
        </w:rPr>
        <w:t xml:space="preserve"> Cohort Logic is used by school administrators, and some of our tools handle student records. This page is a straight account of how we protect that data, what we collect, who we share it with (a short list), and what we're still building.</w:t>
      </w:r>
    </w:p>
    <w:p>
      <w:pPr>
        <w:spacing w:after="120"/>
      </w:pPr>
      <w:r>
        <w:rPr>
          <w:rFonts w:ascii="Arial" w:hAnsi="Arial"/>
          <w:b/>
          <w:sz w:val="21"/>
        </w:rPr>
        <w:t>Honest note (keep the amber callout):</w:t>
      </w:r>
      <w:r>
        <w:rPr>
          <w:rFonts w:ascii="Arial" w:hAnsi="Arial"/>
          <w:sz w:val="21"/>
        </w:rPr>
        <w:t xml:space="preserve"> We're early. We are not yet SOC 2 audited and have not completed third-party penetration testing. We won't claim either until it's real. What *is* real is below.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Trust at a glance (the summary card — update 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Per-school data isolation (row-level security)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Encrypted in transit (TLS)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Encrypted at rest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 [confirm wording]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Role-based access + admin approval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Multi-factor authentication (admins)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Available [enforced: in progress]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FERPA audit logging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Automated daily security monitoring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In place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sale / no advertising / no model training on student data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Commitment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Will sign district DPA / SDPC NDPA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✅ On request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SOC 2 Type II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⏳ Not yet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Third-party penetration test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⏳ Not yet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Two kinds of tools, two data models (the key section)</w:t>
      </w:r>
    </w:p>
    <w:p>
      <w:pPr>
        <w:spacing w:after="120"/>
      </w:pPr>
      <w:r>
        <w:rPr>
          <w:rFonts w:ascii="Arial" w:hAnsi="Arial"/>
          <w:b/>
          <w:sz w:val="21"/>
        </w:rPr>
        <w:t>Browser-only tools — nothing stored on our servers.</w:t>
      </w:r>
    </w:p>
    <w:p>
      <w:pPr>
        <w:spacing w:after="120"/>
      </w:pPr>
      <w:r>
        <w:rPr>
          <w:rFonts w:ascii="Arial" w:hAnsi="Arial"/>
          <w:sz w:val="21"/>
        </w:rPr>
        <w:t>Class Builder and Schedule Builder run entirely in your browser. The rosters and schedules you work with are never uploaded to Cohort Logic. When you close the tab, they're gone; you save your own file. Supabase is used only for sign-in and anonymous usage counts — never student records.</w:t>
      </w:r>
    </w:p>
    <w:p>
      <w:pPr>
        <w:spacing w:after="120"/>
      </w:pPr>
      <w:r>
        <w:rPr>
          <w:rFonts w:ascii="Arial" w:hAnsi="Arial"/>
          <w:sz w:val="21"/>
        </w:rPr>
        <w:t>*(Even so, less identifying data leaving your school is always better — for Class Builder you can use student IDs instead of names. See the tips below.)*</w:t>
      </w:r>
    </w:p>
    <w:p>
      <w:pPr>
        <w:spacing w:after="120"/>
      </w:pPr>
      <w:r>
        <w:rPr>
          <w:rFonts w:ascii="Arial" w:hAnsi="Arial"/>
          <w:b/>
          <w:sz w:val="21"/>
        </w:rPr>
        <w:t>Database-backed tools — real student data, protected.</w:t>
      </w:r>
    </w:p>
    <w:p>
      <w:pPr>
        <w:spacing w:after="120"/>
      </w:pPr>
      <w:r>
        <w:rPr>
          <w:rFonts w:ascii="Arial" w:hAnsi="Arial"/>
          <w:sz w:val="21"/>
        </w:rPr>
        <w:t>Check-in/Check-out and Referral Tracking are *meant* to hold real student records so your staff can share them. Here, student data is stored in a secured, per-school database with the controls listed below. You enter real names here; that's by design, and it's protected accordingly.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Security controls (what protects the database-backed tools)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Per-school isolation</w:t>
      </w:r>
      <w:r>
        <w:rPr>
          <w:rFonts w:ascii="Arial" w:hAnsi="Arial"/>
          <w:sz w:val="21"/>
        </w:rPr>
        <w:t xml:space="preserve"> enforced at the database level (row-level security) — one school can never see another's data. Verified automatically every day.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Encryption</w:t>
      </w:r>
      <w:r>
        <w:rPr>
          <w:rFonts w:ascii="Arial" w:hAnsi="Arial"/>
          <w:sz w:val="21"/>
        </w:rPr>
        <w:t xml:space="preserve"> in transit (TLS) and at rest.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Access control</w:t>
      </w:r>
      <w:r>
        <w:rPr>
          <w:rFonts w:ascii="Arial" w:hAnsi="Arial"/>
          <w:sz w:val="21"/>
        </w:rPr>
        <w:t xml:space="preserve"> — role-based (staff / school admin / super admin), new accounts require admin approval, and admin accounts support multi-factor authentication.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FERPA audit log</w:t>
      </w:r>
      <w:r>
        <w:rPr>
          <w:rFonts w:ascii="Arial" w:hAnsi="Arial"/>
          <w:sz w:val="21"/>
        </w:rPr>
        <w:t xml:space="preserve"> — every change to a student record is recorded with who and when.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Automated daily security audit</w:t>
      </w:r>
      <w:r>
        <w:rPr>
          <w:rFonts w:ascii="Arial" w:hAnsi="Arial"/>
          <w:sz w:val="21"/>
        </w:rPr>
        <w:t xml:space="preserve"> — an internal agent checks our data-isolation, headers, and access controls every day and flags anything off.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Session timeouts</w:t>
      </w:r>
      <w:r>
        <w:rPr>
          <w:rFonts w:ascii="Arial" w:hAnsi="Arial"/>
          <w:sz w:val="21"/>
        </w:rPr>
        <w:t xml:space="preserve"> on sensitive apps.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Privacy &amp; compliance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FERPA:</w:t>
      </w:r>
      <w:r>
        <w:rPr>
          <w:rFonts w:ascii="Arial" w:hAnsi="Arial"/>
          <w:sz w:val="21"/>
        </w:rPr>
        <w:t xml:space="preserve"> Your school owns the education records. Cohort Logic operates as a *school official with a legitimate educational interest*, under your school's direct control, using data only to provide the service and never re-disclosing it.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COPPA:</w:t>
      </w:r>
      <w:r>
        <w:rPr>
          <w:rFonts w:ascii="Arial" w:hAnsi="Arial"/>
          <w:sz w:val="21"/>
        </w:rPr>
        <w:t xml:space="preserve"> For students under 13, your school consents on parents' behalf for educational use; we make no commercial use of the data and delete it on request.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State laws:</w:t>
      </w:r>
      <w:r>
        <w:rPr>
          <w:rFonts w:ascii="Arial" w:hAnsi="Arial"/>
          <w:sz w:val="21"/>
        </w:rPr>
        <w:t xml:space="preserve"> We build to laws such as California SOPIPA, New York Education Law 2-d, and Illinois SOPPA — no sale, no targeted advertising, purpose limitation, security, and deletion on request.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Agreements:</w:t>
      </w:r>
      <w:r>
        <w:rPr>
          <w:rFonts w:ascii="Arial" w:hAnsi="Arial"/>
          <w:sz w:val="21"/>
        </w:rPr>
        <w:t xml:space="preserve"> We'll sign your district's Data Processing Agreement and the SDPC National Data Privacy Agreement (NDPA) on request.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What we never do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Never sell student or staff data.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Never use student data for advertising.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Never train machine-learning/AI models on student data.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Never use student data for anything beyond providing and supporting the service.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Sub-processors</w:t>
      </w:r>
    </w:p>
    <w:p>
      <w:pPr>
        <w:spacing w:after="120"/>
      </w:pPr>
      <w:r>
        <w:rPr>
          <w:rFonts w:ascii="Arial" w:hAnsi="Arial"/>
          <w:sz w:val="21"/>
        </w:rPr>
        <w:t>The only vendors that touch customer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Student data?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Region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 (Postgres on AWS)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Database + authentication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Yes (CICO/Referrals)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United States [confirm]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Cloudflare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Hosting, CDN, security edge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Global edge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Data handling &amp; your control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Retention:</w:t>
      </w:r>
      <w:r>
        <w:rPr>
          <w:rFonts w:ascii="Arial" w:hAnsi="Arial"/>
          <w:sz w:val="21"/>
        </w:rPr>
        <w:t xml:space="preserve"> data is kept while your account is active; deletion on request is completed within 30 days; backups age out within 90 days.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Deletion &amp; export:</w:t>
      </w:r>
      <w:r>
        <w:rPr>
          <w:rFonts w:ascii="Arial" w:hAnsi="Arial"/>
          <w:sz w:val="21"/>
        </w:rPr>
        <w:t xml:space="preserve"> school admins can export or delete their data any time from the admin panel; on termination we return or delete it.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Breach:</w:t>
      </w:r>
      <w:r>
        <w:rPr>
          <w:rFonts w:ascii="Arial" w:hAnsi="Arial"/>
          <w:sz w:val="21"/>
        </w:rPr>
        <w:t xml:space="preserve"> if a breach affects your data, we notify the affected school without unreasonable delay (our standard: within 72 hours) and support your notifications.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What we're building next (keep honest)</w:t>
      </w:r>
    </w:p>
    <w:p>
      <w:pPr>
        <w:spacing w:after="120"/>
      </w:pPr>
      <w:r>
        <w:rPr>
          <w:rFonts w:ascii="Arial" w:hAnsi="Arial"/>
          <w:sz w:val="21"/>
        </w:rPr>
        <w:t>We publish these when they're real, not before: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SOC 2 Type II audit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Third-party penetration test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Signed sub-processor DPAs + a public sub-processor registry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WCAG 2.2 AA accessibility audit + VPAT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Enforced MFA for all admin accounts</w:t>
      </w:r>
    </w:p>
    <w:p>
      <w:pPr>
        <w:spacing w:after="120"/>
      </w:pPr>
      <w:r>
        <w:rPr>
          <w:rFonts w:ascii="Arial" w:hAnsi="Arial"/>
          <w:sz w:val="21"/>
        </w:rPr>
        <w:t>*If your district has specific security requirements, tell us — we want to hear them.*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Security contact (add this — questionnaires expect it)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Security &amp; vulnerability disclosure:</w:t>
      </w:r>
      <w:r>
        <w:rPr>
          <w:rFonts w:ascii="Arial" w:hAnsi="Arial"/>
          <w:sz w:val="21"/>
        </w:rPr>
        <w:t xml:space="preserve"> [security@cohortlogic.com] — we welcome good-faith reports.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District security questionnaire or DPA?</w:t>
      </w:r>
      <w:r>
        <w:rPr>
          <w:rFonts w:ascii="Arial" w:hAnsi="Arial"/>
          <w:sz w:val="21"/>
        </w:rPr>
        <w:t xml:space="preserve"> [privacy@cohortlogic.com] or the contact form — we'll turn it around quickly.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Web-port checklist (for the later batch)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Reframe hero + add the "two data models" section (stop implying all products are browser-only).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Scope the "anonymize before uploading" guidance to Class Builder/Schedule Builder only.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Replace the summary card with the product-wide control table above.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Add sub-processors, privacy/compliance, and security-contact sections.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Resolve the PBC-vs-LLC entity label; wire the dead Terms/DPA footer links.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[ ] Confirm US-region + encryption-at-rest wording before publishing those claims.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