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Go-To-Market Scope &amp; Phasing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Strategic scope decision (2026-07-21) — governs how every other doc and tracker item is prioritized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b/>
          <w:color w:val="555F6A"/>
          <w:sz w:val="20"/>
        </w:rPr>
        <w:t>Decision:</w:t>
      </w:r>
      <w:r>
        <w:rPr>
          <w:rFonts w:ascii="Arial" w:hAnsi="Arial"/>
          <w:color w:val="555F6A"/>
          <w:sz w:val="20"/>
        </w:rPr>
        <w:t xml:space="preserve"> Cohort Logic goes to market with </w:t>
      </w:r>
      <w:r>
        <w:rPr>
          <w:rFonts w:ascii="Arial" w:hAnsi="Arial"/>
          <w:b/>
          <w:color w:val="555F6A"/>
          <w:sz w:val="20"/>
        </w:rPr>
        <w:t>Class Builder and Schedule Builder only</w:t>
      </w:r>
      <w:r>
        <w:rPr>
          <w:rFonts w:ascii="Arial" w:hAnsi="Arial"/>
          <w:color w:val="555F6A"/>
          <w:sz w:val="20"/>
        </w:rPr>
        <w:t xml:space="preserve">. Check-in/Check-out (CICO) and Referral Tracking are </w:t>
      </w:r>
      <w:r>
        <w:rPr>
          <w:rFonts w:ascii="Arial" w:hAnsi="Arial"/>
          <w:b/>
          <w:color w:val="555F6A"/>
          <w:sz w:val="20"/>
        </w:rPr>
        <w:t>held for Phase 2</w:t>
      </w:r>
      <w:r>
        <w:rPr>
          <w:rFonts w:ascii="Arial" w:hAnsi="Arial"/>
          <w:color w:val="555F6A"/>
          <w:sz w:val="20"/>
        </w:rPr>
        <w:t>, after product-market fit is confirmed — deliberately, because they carry the larger security and expense burden.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1. Why this dramatically reduces the compliance burden</w:t>
      </w:r>
    </w:p>
    <w:p>
      <w:pPr>
        <w:spacing w:after="120"/>
      </w:pPr>
      <w:r>
        <w:rPr>
          <w:rFonts w:ascii="Arial" w:hAnsi="Arial"/>
          <w:sz w:val="21"/>
        </w:rPr>
        <w:t xml:space="preserve">Both launch products are </w:t>
      </w:r>
      <w:r>
        <w:rPr>
          <w:rFonts w:ascii="Arial" w:hAnsi="Arial"/>
          <w:b/>
          <w:sz w:val="21"/>
        </w:rPr>
        <w:t>browser-only / file-based — they store NO student data on Cohort Logic servers: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Where student data lives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Stored on our servers?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Class Builder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In the user's browser during a session; results downloaded as a file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No.</w:t>
            </w:r>
            <w:r>
              <w:rPr>
                <w:rFonts w:ascii="Arial" w:hAnsi="Arial"/>
                <w:sz w:val="18"/>
              </w:rPr>
              <w:t xml:space="preserve"> Only anonymous usage counts (</w:t>
            </w:r>
            <w:r>
              <w:rPr>
                <w:rFonts w:ascii="Consolas" w:hAnsi="Consolas"/>
                <w:sz w:val="16"/>
              </w:rPr>
              <w:t>sessions</w:t>
            </w:r>
            <w:r>
              <w:rPr>
                <w:rFonts w:ascii="Arial" w:hAnsi="Arial"/>
                <w:sz w:val="18"/>
              </w:rPr>
              <w:t>/</w:t>
            </w:r>
            <w:r>
              <w:rPr>
                <w:rFonts w:ascii="Consolas" w:hAnsi="Consolas"/>
                <w:sz w:val="16"/>
              </w:rPr>
              <w:t>events</w:t>
            </w:r>
            <w:r>
              <w:rPr>
                <w:rFonts w:ascii="Arial" w:hAnsi="Arial"/>
                <w:sz w:val="18"/>
              </w:rPr>
              <w:t>) go to Supabase — no student records.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Schedule Builder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In the browser + a </w:t>
            </w:r>
            <w:r>
              <w:rPr>
                <w:rFonts w:ascii="Consolas" w:hAnsi="Consolas"/>
                <w:sz w:val="16"/>
              </w:rPr>
              <w:t>.cohortlogic</w:t>
            </w:r>
            <w:r>
              <w:rPr>
                <w:rFonts w:ascii="Arial" w:hAnsi="Arial"/>
                <w:sz w:val="18"/>
              </w:rPr>
              <w:t xml:space="preserve"> file the user downloads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No.</w:t>
            </w:r>
            <w:r>
              <w:rPr>
                <w:rFonts w:ascii="Arial" w:hAnsi="Arial"/>
                <w:sz w:val="18"/>
              </w:rPr>
              <w:t xml:space="preserve"> Supabase used only for sign-in + product gating.</w:t>
            </w:r>
          </w:p>
        </w:tc>
      </w:tr>
    </w:tbl>
    <w:p>
      <w:pPr>
        <w:spacing w:after="120"/>
      </w:pPr>
      <w:r>
        <w:rPr>
          <w:rFonts w:ascii="Arial" w:hAnsi="Arial"/>
          <w:b/>
          <w:sz w:val="21"/>
        </w:rPr>
        <w:t>What we *do* store server-side (Supabase):</w:t>
      </w:r>
      <w:r>
        <w:rPr>
          <w:rFonts w:ascii="Arial" w:hAnsi="Arial"/>
          <w:sz w:val="21"/>
        </w:rPr>
        <w:t xml:space="preserve"> staff account info (name, email, school, role) for login, plus anonymous analytics and operational data (feedback, contact form, error logs). </w:t>
      </w:r>
      <w:r>
        <w:rPr>
          <w:rFonts w:ascii="Arial" w:hAnsi="Arial"/>
          <w:b/>
          <w:sz w:val="21"/>
        </w:rPr>
        <w:t>This is ordinary business data — not FERPA education records.</w:t>
      </w:r>
    </w:p>
    <w:p>
      <w:pPr>
        <w:spacing w:after="120"/>
      </w:pPr>
      <w:r>
        <w:rPr>
          <w:rFonts w:ascii="Arial" w:hAnsi="Arial"/>
          <w:b/>
          <w:sz w:val="21"/>
        </w:rPr>
        <w:t>The consequence:</w:t>
      </w:r>
      <w:r>
        <w:rPr>
          <w:rFonts w:ascii="Arial" w:hAnsi="Arial"/>
          <w:sz w:val="21"/>
        </w:rPr>
        <w:t xml:space="preserve"> for the launch products, Cohort Logic </w:t>
      </w:r>
      <w:r>
        <w:rPr>
          <w:rFonts w:ascii="Arial" w:hAnsi="Arial"/>
          <w:b/>
          <w:sz w:val="21"/>
        </w:rPr>
        <w:t>never receives student education records</w:t>
      </w:r>
      <w:r>
        <w:rPr>
          <w:rFonts w:ascii="Arial" w:hAnsi="Arial"/>
          <w:sz w:val="21"/>
        </w:rPr>
        <w:t>. Student data is processed only on the user's own device. That means: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The heavy FERPA "school official" analysis, student-data retention/deletion, breach-notification timelines, COPPA, and state student-privacy statutes (NY 2-d, IL SOPPA, CA SOPIPA operator storage duties) are </w:t>
      </w:r>
      <w:r>
        <w:rPr>
          <w:rFonts w:ascii="Arial" w:hAnsi="Arial"/>
          <w:b/>
          <w:sz w:val="21"/>
        </w:rPr>
        <w:t>largely not triggered at launch</w:t>
      </w:r>
      <w:r>
        <w:rPr>
          <w:rFonts w:ascii="Arial" w:hAnsi="Arial"/>
          <w:sz w:val="21"/>
        </w:rPr>
        <w:t xml:space="preserve"> — there is no stored student PII to lose.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Our public answer becomes the strongest one in the market: </w:t>
      </w:r>
      <w:r>
        <w:rPr>
          <w:rFonts w:ascii="Arial" w:hAnsi="Arial"/>
          <w:b/>
          <w:sz w:val="21"/>
        </w:rPr>
        <w:t>"Student data never leaves your device; our servers never receive it."</w:t>
      </w:r>
    </w:p>
    <w:p>
      <w:pPr>
        <w:spacing w:after="120"/>
      </w:pPr>
      <w:r>
        <w:rPr>
          <w:rFonts w:ascii="Arial" w:hAnsi="Arial"/>
          <w:sz w:val="21"/>
        </w:rPr>
        <w:t xml:space="preserve">Some districts will still ask for a DPA/NDPA as a formality even for no-storage tools — we sign it, and our </w:t>
      </w:r>
      <w:r>
        <w:rPr>
          <w:rFonts w:ascii="Arial" w:hAnsi="Arial"/>
          <w:b/>
          <w:sz w:val="21"/>
        </w:rPr>
        <w:t>data-elements schedule (NDPA Exhibit B) is nearly empty</w:t>
      </w:r>
      <w:r>
        <w:rPr>
          <w:rFonts w:ascii="Arial" w:hAnsi="Arial"/>
          <w:sz w:val="21"/>
        </w:rPr>
        <w:t>, which is a fast, easy conversation.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2. Phase 1 — what you actually need to launch (the short list)</w:t>
      </w:r>
    </w:p>
    <w:p>
      <w:pPr>
        <w:spacing w:after="120"/>
      </w:pPr>
      <w:r>
        <w:rPr>
          <w:rFonts w:ascii="Arial" w:hAnsi="Arial"/>
          <w:b/>
          <w:sz w:val="21"/>
        </w:rPr>
        <w:t>Business &amp; legal (get paid + contract):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Confirm legal entity (resolve the "PBC" vs LLC label), EIN + W-9, business banking — BI-01/02/03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Insurance</w:t>
      </w:r>
      <w:r>
        <w:rPr>
          <w:rFonts w:ascii="Arial" w:hAnsi="Arial"/>
          <w:sz w:val="21"/>
        </w:rPr>
        <w:t xml:space="preserve"> (cyber + tech E&amp;O + general liability) — *Michael obtaining* — BI-04/05/06/07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Identify counsel — BI-14</w:t>
      </w:r>
    </w:p>
    <w:p>
      <w:pPr>
        <w:spacing w:after="120"/>
      </w:pPr>
      <w:r>
        <w:rPr>
          <w:rFonts w:ascii="Arial" w:hAnsi="Arial"/>
          <w:b/>
          <w:sz w:val="21"/>
        </w:rPr>
        <w:t>Public legal pages (attorney-reviewed, then published):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Lean Privacy Policy</w:t>
      </w:r>
      <w:r>
        <w:rPr>
          <w:rFonts w:ascii="Arial" w:hAnsi="Arial"/>
          <w:sz w:val="21"/>
        </w:rPr>
        <w:t xml:space="preserve"> — leads with "we don't store student data" for both products — FE-08 / </w:t>
      </w:r>
      <w:r>
        <w:rPr>
          <w:rFonts w:ascii="Consolas" w:hAnsi="Consolas"/>
          <w:sz w:val="19"/>
        </w:rPr>
        <w:t>08_...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Terms of Service</w:t>
      </w:r>
      <w:r>
        <w:rPr>
          <w:rFonts w:ascii="Arial" w:hAnsi="Arial"/>
          <w:sz w:val="21"/>
        </w:rPr>
        <w:t xml:space="preserve"> (replaces the beta agreement) — BI-08 / </w:t>
      </w:r>
      <w:r>
        <w:rPr>
          <w:rFonts w:ascii="Consolas" w:hAnsi="Consolas"/>
          <w:sz w:val="19"/>
        </w:rPr>
        <w:t>09_...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Acceptable Use Policy</w:t>
      </w:r>
      <w:r>
        <w:rPr>
          <w:rFonts w:ascii="Arial" w:hAnsi="Arial"/>
          <w:sz w:val="21"/>
        </w:rPr>
        <w:t xml:space="preserve"> — BI-11 / </w:t>
      </w:r>
      <w:r>
        <w:rPr>
          <w:rFonts w:ascii="Consolas" w:hAnsi="Consolas"/>
          <w:sz w:val="19"/>
        </w:rPr>
        <w:t>11_...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Trust page</w:t>
      </w:r>
      <w:r>
        <w:rPr>
          <w:rFonts w:ascii="Arial" w:hAnsi="Arial"/>
          <w:sz w:val="21"/>
        </w:rPr>
        <w:t xml:space="preserve"> — the product-aware </w:t>
      </w:r>
      <w:r>
        <w:rPr>
          <w:rFonts w:ascii="Consolas" w:hAnsi="Consolas"/>
          <w:sz w:val="19"/>
        </w:rPr>
        <w:t>security.html</w:t>
      </w:r>
      <w:r>
        <w:rPr>
          <w:rFonts w:ascii="Arial" w:hAnsi="Arial"/>
          <w:sz w:val="21"/>
        </w:rPr>
        <w:t xml:space="preserve"> — PR-10 / </w:t>
      </w:r>
      <w:r>
        <w:rPr>
          <w:rFonts w:ascii="Consolas" w:hAnsi="Consolas"/>
          <w:sz w:val="19"/>
        </w:rPr>
        <w:t>15_...</w:t>
      </w:r>
    </w:p>
    <w:p>
      <w:pPr>
        <w:spacing w:after="120"/>
      </w:pPr>
      <w:r>
        <w:rPr>
          <w:rFonts w:ascii="Arial" w:hAnsi="Arial"/>
          <w:b/>
          <w:sz w:val="21"/>
        </w:rPr>
        <w:t>Contracts (for district deals):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A simple </w:t>
      </w:r>
      <w:r>
        <w:rPr>
          <w:rFonts w:ascii="Arial" w:hAnsi="Arial"/>
          <w:b/>
          <w:sz w:val="21"/>
        </w:rPr>
        <w:t>DPA / SDPC NDPA</w:t>
      </w:r>
      <w:r>
        <w:rPr>
          <w:rFonts w:ascii="Arial" w:hAnsi="Arial"/>
          <w:sz w:val="21"/>
        </w:rPr>
        <w:t xml:space="preserve"> ready to sign, with a near-empty data schedule — FE-02/03 / </w:t>
      </w:r>
      <w:r>
        <w:rPr>
          <w:rFonts w:ascii="Consolas" w:hAnsi="Consolas"/>
          <w:sz w:val="19"/>
        </w:rPr>
        <w:t>07_...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MSA</w:t>
      </w:r>
      <w:r>
        <w:rPr>
          <w:rFonts w:ascii="Arial" w:hAnsi="Arial"/>
          <w:sz w:val="21"/>
        </w:rPr>
        <w:t xml:space="preserve"> if selling on contract — BI-09/10 / </w:t>
      </w:r>
      <w:r>
        <w:rPr>
          <w:rFonts w:ascii="Consolas" w:hAnsi="Consolas"/>
          <w:sz w:val="19"/>
        </w:rPr>
        <w:t>10_...</w:t>
      </w:r>
    </w:p>
    <w:p>
      <w:pPr>
        <w:spacing w:after="120"/>
      </w:pPr>
      <w:r>
        <w:rPr>
          <w:rFonts w:ascii="Arial" w:hAnsi="Arial"/>
          <w:b/>
          <w:sz w:val="21"/>
        </w:rPr>
        <w:t>Sub-processors (covers staff data + analytics, not student data):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Sign Supabase + Cloudflare DPAs; publish the sub-processor list — FE-05</w:t>
      </w:r>
    </w:p>
    <w:p>
      <w:pPr>
        <w:spacing w:after="120"/>
      </w:pPr>
      <w:r>
        <w:rPr>
          <w:rFonts w:ascii="Arial" w:hAnsi="Arial"/>
          <w:b/>
          <w:sz w:val="21"/>
        </w:rPr>
        <w:t>Product &amp; go-live: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Billing (Stripe) — PR-01 · Finalize pricing — PR-09 · Onboarding — PR-02 · Support/SLA — PR-03/07 · Accessibility/VPAT — PR-05 · Delete legacy Netlify — PR-08</w:t>
      </w:r>
    </w:p>
    <w:p>
      <w:pPr>
        <w:spacing w:after="120"/>
      </w:pPr>
      <w:r>
        <w:rPr>
          <w:rFonts w:ascii="Arial" w:hAnsi="Arial"/>
          <w:b/>
          <w:sz w:val="21"/>
        </w:rPr>
        <w:t>Security &amp; reliability (foundational, mostly already done):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Keep: RLS isolation, RBAC, TLS/headers, audit log, daily security agent (SE-01..06 — done)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Do: </w:t>
      </w:r>
      <w:r>
        <w:rPr>
          <w:rFonts w:ascii="Arial" w:hAnsi="Arial"/>
          <w:b/>
          <w:sz w:val="21"/>
        </w:rPr>
        <w:t>Supabase Pro + backups</w:t>
      </w:r>
      <w:r>
        <w:rPr>
          <w:rFonts w:ascii="Arial" w:hAnsi="Arial"/>
          <w:sz w:val="21"/>
        </w:rPr>
        <w:t xml:space="preserve"> (so logins/gating don't pause) — SE-07/08 · Basic </w:t>
      </w:r>
      <w:r>
        <w:rPr>
          <w:rFonts w:ascii="Arial" w:hAnsi="Arial"/>
          <w:b/>
          <w:sz w:val="21"/>
        </w:rPr>
        <w:t>Incident Response</w:t>
      </w:r>
      <w:r>
        <w:rPr>
          <w:rFonts w:ascii="Arial" w:hAnsi="Arial"/>
          <w:sz w:val="21"/>
        </w:rPr>
        <w:t xml:space="preserve"> + </w:t>
      </w:r>
      <w:r>
        <w:rPr>
          <w:rFonts w:ascii="Arial" w:hAnsi="Arial"/>
          <w:b/>
          <w:sz w:val="21"/>
        </w:rPr>
        <w:t>BC/DR</w:t>
      </w:r>
      <w:r>
        <w:rPr>
          <w:rFonts w:ascii="Arial" w:hAnsi="Arial"/>
          <w:sz w:val="21"/>
        </w:rPr>
        <w:t xml:space="preserve"> — SE-12/13 · Uptime/status — SE-14 · Dependency scanning — SE-11 · Secrets policy — SE-16 · Enforce admin MFA (lighter, but good) — SE-05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3. Phase 2 — deferred until CICO / Referral Tracking launch</w:t>
      </w:r>
    </w:p>
    <w:p>
      <w:pPr>
        <w:spacing w:after="120"/>
      </w:pPr>
      <w:r>
        <w:rPr>
          <w:rFonts w:ascii="Arial" w:hAnsi="Arial"/>
          <w:sz w:val="21"/>
        </w:rPr>
        <w:t xml:space="preserve">These activate only when a product that </w:t>
      </w:r>
      <w:r>
        <w:rPr>
          <w:rFonts w:ascii="Arial" w:hAnsi="Arial"/>
          <w:b/>
          <w:sz w:val="21"/>
        </w:rPr>
        <w:t>stores</w:t>
      </w:r>
      <w:r>
        <w:rPr>
          <w:rFonts w:ascii="Arial" w:hAnsi="Arial"/>
          <w:sz w:val="21"/>
        </w:rPr>
        <w:t xml:space="preserve"> student data ships. The drafts are done and waiting: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Full FERPA "school official" posture (heavy) — FE-01 / </w:t>
      </w:r>
      <w:r>
        <w:rPr>
          <w:rFonts w:ascii="Consolas" w:hAnsi="Consolas"/>
          <w:sz w:val="19"/>
        </w:rPr>
        <w:t>03_...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Student-data inventory (the storing tables) — FE-04 / </w:t>
      </w:r>
      <w:r>
        <w:rPr>
          <w:rFonts w:ascii="Consolas" w:hAnsi="Consolas"/>
          <w:sz w:val="19"/>
        </w:rPr>
        <w:t>01_...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Student-record retention &amp; deletion + data-request runbook — FE-07/13 / </w:t>
      </w:r>
      <w:r>
        <w:rPr>
          <w:rFonts w:ascii="Consolas" w:hAnsi="Consolas"/>
          <w:sz w:val="19"/>
        </w:rPr>
        <w:t>02_...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9"/>
        </w:rPr>
        <w:t>14_...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Breach-notification timelines (NY 7-day, IL 30-day, etc.) — FE-12 / </w:t>
      </w:r>
      <w:r>
        <w:rPr>
          <w:rFonts w:ascii="Consolas" w:hAnsi="Consolas"/>
          <w:sz w:val="19"/>
        </w:rPr>
        <w:t>05_...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State student-privacy matrix + NY 2-d Parents' Bill of Rights &amp; security plan — FE-10/11 / </w:t>
      </w:r>
      <w:r>
        <w:rPr>
          <w:rFonts w:ascii="Consolas" w:hAnsi="Consolas"/>
          <w:sz w:val="19"/>
        </w:rPr>
        <w:t>06_...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COPPA (under-13 stored data) — FE-09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Third-party penetration test — SE-10 · SOC 2 — SE-17 · SSO/rostering (Clever/ClassLink/Google) — PR-06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4. How this maps onto the documents already produced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Doc</w:t>
            </w:r>
          </w:p>
        </w:tc>
        <w:tc>
          <w:tcPr>
            <w:tcW w:type="dxa" w:w="468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Phase 1 relevance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01</w:t>
            </w:r>
            <w:r>
              <w:rPr>
                <w:rFonts w:ascii="Arial" w:hAnsi="Arial"/>
                <w:sz w:val="18"/>
              </w:rPr>
              <w:t xml:space="preserve"> Data map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Launch section = "nothing stored"; the student-data inventory is Phase 2 reference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02</w:t>
            </w:r>
            <w:r>
              <w:rPr>
                <w:rFonts w:ascii="Arial" w:hAnsi="Arial"/>
                <w:sz w:val="18"/>
              </w:rPr>
              <w:t xml:space="preserve"> Retention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Applies to staff/account + analytics data now; student-record retention is Phase 2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03</w:t>
            </w:r>
            <w:r>
              <w:rPr>
                <w:rFonts w:ascii="Arial" w:hAnsi="Arial"/>
                <w:sz w:val="18"/>
              </w:rPr>
              <w:t xml:space="preserve"> FERPA posture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Minimal at launch (no records stored); full analysis is Phase 2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04</w:t>
            </w:r>
            <w:r>
              <w:rPr>
                <w:rFonts w:ascii="Arial" w:hAnsi="Arial"/>
                <w:sz w:val="18"/>
              </w:rPr>
              <w:t xml:space="preserve"> Incident Response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Phase 1</w:t>
            </w:r>
            <w:r>
              <w:rPr>
                <w:rFonts w:ascii="Arial" w:hAnsi="Arial"/>
                <w:sz w:val="18"/>
              </w:rPr>
              <w:t xml:space="preserve"> — a basic plan still needed (account/security incidents)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05</w:t>
            </w:r>
            <w:r>
              <w:rPr>
                <w:rFonts w:ascii="Arial" w:hAnsi="Arial"/>
                <w:sz w:val="18"/>
              </w:rPr>
              <w:t xml:space="preserve"> Breach notification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Mostly </w:t>
            </w:r>
            <w:r>
              <w:rPr>
                <w:rFonts w:ascii="Arial" w:hAnsi="Arial"/>
                <w:b/>
                <w:sz w:val="18"/>
              </w:rPr>
              <w:t>Phase 2</w:t>
            </w:r>
            <w:r>
              <w:rPr>
                <w:rFonts w:ascii="Arial" w:hAnsi="Arial"/>
                <w:sz w:val="18"/>
              </w:rPr>
              <w:t xml:space="preserve"> (student-data timelines); keep a light account-breach path in </w:t>
            </w:r>
            <w:r>
              <w:rPr>
                <w:rFonts w:ascii="Consolas" w:hAnsi="Consolas"/>
                <w:sz w:val="16"/>
              </w:rPr>
              <w:t>04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06</w:t>
            </w:r>
            <w:r>
              <w:rPr>
                <w:rFonts w:ascii="Arial" w:hAnsi="Arial"/>
                <w:sz w:val="18"/>
              </w:rPr>
              <w:t xml:space="preserve"> State matrix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Phase 2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07</w:t>
            </w:r>
            <w:r>
              <w:rPr>
                <w:rFonts w:ascii="Arial" w:hAnsi="Arial"/>
                <w:sz w:val="18"/>
              </w:rPr>
              <w:t xml:space="preserve"> DPA/NDPA readiness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Phase 1</w:t>
            </w:r>
            <w:r>
              <w:rPr>
                <w:rFonts w:ascii="Arial" w:hAnsi="Arial"/>
                <w:sz w:val="18"/>
              </w:rPr>
              <w:t>, but lightweight (near-empty data schedule)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08</w:t>
            </w:r>
            <w:r>
              <w:rPr>
                <w:rFonts w:ascii="Arial" w:hAnsi="Arial"/>
                <w:sz w:val="18"/>
              </w:rPr>
              <w:t xml:space="preserve"> Privacy Policy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Phase 1</w:t>
            </w:r>
            <w:r>
              <w:rPr>
                <w:rFonts w:ascii="Arial" w:hAnsi="Arial"/>
                <w:sz w:val="18"/>
              </w:rPr>
              <w:t xml:space="preserve"> — publish a lean version (see its scope banner)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09</w:t>
            </w:r>
            <w:r>
              <w:rPr>
                <w:rFonts w:ascii="Arial" w:hAnsi="Arial"/>
                <w:sz w:val="18"/>
              </w:rPr>
              <w:t xml:space="preserve"> ToS / </w:t>
            </w:r>
            <w:r>
              <w:rPr>
                <w:rFonts w:ascii="Consolas" w:hAnsi="Consolas"/>
                <w:sz w:val="16"/>
              </w:rPr>
              <w:t>11</w:t>
            </w:r>
            <w:r>
              <w:rPr>
                <w:rFonts w:ascii="Arial" w:hAnsi="Arial"/>
                <w:sz w:val="18"/>
              </w:rPr>
              <w:t xml:space="preserve"> AUP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Phase 1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10</w:t>
            </w:r>
            <w:r>
              <w:rPr>
                <w:rFonts w:ascii="Arial" w:hAnsi="Arial"/>
                <w:sz w:val="18"/>
              </w:rPr>
              <w:t xml:space="preserve"> MSA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Phase 1</w:t>
            </w:r>
            <w:r>
              <w:rPr>
                <w:rFonts w:ascii="Arial" w:hAnsi="Arial"/>
                <w:sz w:val="18"/>
              </w:rPr>
              <w:t xml:space="preserve"> if contracting with districts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12</w:t>
            </w:r>
            <w:r>
              <w:rPr>
                <w:rFonts w:ascii="Arial" w:hAnsi="Arial"/>
                <w:sz w:val="18"/>
              </w:rPr>
              <w:t xml:space="preserve"> BC/DR · </w:t>
            </w:r>
            <w:r>
              <w:rPr>
                <w:rFonts w:ascii="Consolas" w:hAnsi="Consolas"/>
                <w:sz w:val="16"/>
              </w:rPr>
              <w:t>13</w:t>
            </w:r>
            <w:r>
              <w:rPr>
                <w:rFonts w:ascii="Arial" w:hAnsi="Arial"/>
                <w:sz w:val="18"/>
              </w:rPr>
              <w:t xml:space="preserve"> Secrets · </w:t>
            </w:r>
            <w:r>
              <w:rPr>
                <w:rFonts w:ascii="Consolas" w:hAnsi="Consolas"/>
                <w:sz w:val="16"/>
              </w:rPr>
              <w:t>14</w:t>
            </w:r>
            <w:r>
              <w:rPr>
                <w:rFonts w:ascii="Arial" w:hAnsi="Arial"/>
                <w:sz w:val="18"/>
              </w:rPr>
              <w:t xml:space="preserve"> Data-request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12 &amp; 13 = Phase 1; 14 (student data-requests) = Phase 2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15</w:t>
            </w:r>
            <w:r>
              <w:rPr>
                <w:rFonts w:ascii="Arial" w:hAnsi="Arial"/>
                <w:sz w:val="18"/>
              </w:rPr>
              <w:t xml:space="preserve"> Trust page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Phase 1</w:t>
            </w:r>
            <w:r>
              <w:rPr>
                <w:rFonts w:ascii="Arial" w:hAnsi="Arial"/>
                <w:sz w:val="18"/>
              </w:rPr>
              <w:t xml:space="preserve"> — the launch story is entirely the browser-only, no-storage message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5. Bottom line</w:t>
      </w:r>
    </w:p>
    <w:p>
      <w:pPr>
        <w:spacing w:after="120"/>
      </w:pPr>
      <w:r>
        <w:rPr>
          <w:rFonts w:ascii="Arial" w:hAnsi="Arial"/>
          <w:sz w:val="21"/>
        </w:rPr>
        <w:t xml:space="preserve">Going to market with only the two browser-only products means your launch compliance load is roughly: </w:t>
      </w:r>
      <w:r>
        <w:rPr>
          <w:rFonts w:ascii="Arial" w:hAnsi="Arial"/>
          <w:b/>
          <w:sz w:val="21"/>
        </w:rPr>
        <w:t>entity + insurance + three attorney-reviewed public pages + a lightweight DPA + billing + a trust page.</w:t>
      </w:r>
      <w:r>
        <w:rPr>
          <w:rFonts w:ascii="Arial" w:hAnsi="Arial"/>
          <w:sz w:val="21"/>
        </w:rPr>
        <w:t xml:space="preserve"> The student-data-heavy work (most of the FERPA/state/breach material) is real and done, but it correctly waits for Phase 2 — exactly matching the "confirm PMF before the larger, more expensive build-out" strategy.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