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Bdr>
          <w:bottom w:val="single" w:sz="12" w:space="4" w:color="2A9D8F"/>
        </w:pBdr>
      </w:pPr>
      <w:r>
        <w:rPr>
          <w:rFonts w:ascii="Arial" w:hAnsi="Arial"/>
          <w:b/>
          <w:color w:val="1E3A5F"/>
          <w:sz w:val="34"/>
        </w:rPr>
        <w:t>Cohort Logic — Data Inventory &amp; Data Flow Map</w:t>
      </w:r>
    </w:p>
    <w:p>
      <w:pPr>
        <w:spacing w:after="120"/>
      </w:pPr>
      <w:r>
        <w:rPr>
          <w:rFonts w:ascii="Arial" w:hAnsi="Arial"/>
          <w:b/>
          <w:sz w:val="21"/>
        </w:rPr>
        <w:t>Tracker item:</w:t>
      </w:r>
      <w:r>
        <w:rPr>
          <w:rFonts w:ascii="Arial" w:hAnsi="Arial"/>
          <w:sz w:val="21"/>
        </w:rPr>
        <w:t xml:space="preserve"> FE-04</w:t>
      </w:r>
    </w:p>
    <w:p>
      <w:pPr>
        <w:spacing w:after="120"/>
      </w:pPr>
      <w:r>
        <w:rPr>
          <w:rFonts w:ascii="Arial" w:hAnsi="Arial"/>
          <w:b/>
          <w:sz w:val="21"/>
        </w:rPr>
        <w:t>Owner:</w:t>
      </w:r>
      <w:r>
        <w:rPr>
          <w:rFonts w:ascii="Arial" w:hAnsi="Arial"/>
          <w:sz w:val="21"/>
        </w:rPr>
        <w:t xml:space="preserve"> Michael Fletcher (Cohort Logic)</w:t>
      </w:r>
    </w:p>
    <w:p>
      <w:pPr>
        <w:spacing w:after="120"/>
      </w:pPr>
      <w:r>
        <w:rPr>
          <w:rFonts w:ascii="Arial" w:hAnsi="Arial"/>
          <w:b/>
          <w:sz w:val="21"/>
        </w:rPr>
        <w:t>Status:</w:t>
      </w:r>
      <w:r>
        <w:rPr>
          <w:rFonts w:ascii="Arial" w:hAnsi="Arial"/>
          <w:sz w:val="21"/>
        </w:rPr>
        <w:t xml:space="preserve"> DRAFT — for internal review and to seed the DPA "Exhibit E / Data Elements" schedule</w:t>
      </w:r>
    </w:p>
    <w:p>
      <w:pPr>
        <w:spacing w:after="120"/>
      </w:pPr>
      <w:r>
        <w:rPr>
          <w:rFonts w:ascii="Arial" w:hAnsi="Arial"/>
          <w:b/>
          <w:sz w:val="21"/>
        </w:rPr>
        <w:t>Last updated:</w:t>
      </w:r>
      <w:r>
        <w:rPr>
          <w:rFonts w:ascii="Arial" w:hAnsi="Arial"/>
          <w:sz w:val="21"/>
        </w:rPr>
        <w:t xml:space="preserve"> 2026-07-21 (by Claude)</w:t>
      </w:r>
    </w:p>
    <w:p>
      <w:pPr>
        <w:spacing w:after="120"/>
      </w:pPr>
      <w:r>
        <w:rPr>
          <w:rFonts w:ascii="Arial" w:hAnsi="Arial"/>
          <w:b/>
          <w:sz w:val="21"/>
        </w:rPr>
        <w:t>Review needed:</w:t>
      </w:r>
      <w:r>
        <w:rPr>
          <w:rFonts w:ascii="Arial" w:hAnsi="Arial"/>
          <w:sz w:val="21"/>
        </w:rPr>
        <w:t xml:space="preserve"> Confirm the "CONFIRM" flags below; have counsel confirm the FERPA/PII classifications before publishing.</w:t>
      </w:r>
    </w:p>
    <w:p>
      <w:pPr>
        <w:spacing w:before="80" w:after="120"/>
        <w:ind w:left="288"/>
        <w:pBdr>
          <w:left w:val="single" w:sz="18" w:space="8" w:color="2A9D8F"/>
        </w:pBdr>
      </w:pPr>
      <w:r>
        <w:rPr>
          <w:rFonts w:ascii="Arial" w:hAnsi="Arial"/>
          <w:color w:val="555F6A"/>
          <w:sz w:val="20"/>
        </w:rPr>
        <w:t xml:space="preserve">This document is an operational data map, not legal advice. It exists to (a) answer the "what data do you collect and where does it live" question on every district questionnaire, and (b) generate the </w:t>
      </w:r>
      <w:r>
        <w:rPr>
          <w:rFonts w:ascii="Arial" w:hAnsi="Arial"/>
          <w:b/>
          <w:color w:val="555F6A"/>
          <w:sz w:val="20"/>
        </w:rPr>
        <w:t>NDPA "Exhibit B — Schedule of Data"</w:t>
      </w:r>
      <w:r>
        <w:rPr>
          <w:rFonts w:ascii="Arial" w:hAnsi="Arial"/>
          <w:color w:val="555F6A"/>
          <w:sz w:val="20"/>
        </w:rPr>
        <w:t xml:space="preserve"> that attaches to a Data Processing Agreement / SDPC NDPA. (Note: the data-elements schedule is Exhibit </w:t>
      </w:r>
      <w:r>
        <w:rPr>
          <w:rFonts w:ascii="Arial" w:hAnsi="Arial"/>
          <w:b/>
          <w:color w:val="555F6A"/>
          <w:sz w:val="20"/>
        </w:rPr>
        <w:t>B</w:t>
      </w:r>
      <w:r>
        <w:rPr>
          <w:rFonts w:ascii="Arial" w:hAnsi="Arial"/>
          <w:color w:val="555F6A"/>
          <w:sz w:val="20"/>
        </w:rPr>
        <w:t xml:space="preserve">, not "Exhibit E" — Exhibit E is the separate "General Offer of Privacy Terms." See </w:t>
      </w:r>
      <w:r>
        <w:rPr>
          <w:rFonts w:ascii="Consolas" w:hAnsi="Consolas"/>
          <w:color w:val="555F6A"/>
          <w:sz w:val="18"/>
        </w:rPr>
        <w:t>07_DPA_and_NDPA_Readiness.md</w:t>
      </w:r>
      <w:r>
        <w:rPr>
          <w:rFonts w:ascii="Arial" w:hAnsi="Arial"/>
          <w:color w:val="555F6A"/>
          <w:sz w:val="20"/>
        </w:rPr>
        <w:t>.)</w:t>
      </w:r>
    </w:p>
    <w:p>
      <w:pPr>
        <w:spacing w:before="240" w:after="80"/>
      </w:pPr>
      <w:r>
        <w:rPr>
          <w:rFonts w:ascii="Arial" w:hAnsi="Arial"/>
          <w:b/>
          <w:color w:val="1E3A5F"/>
          <w:sz w:val="27"/>
        </w:rPr>
        <w:t>1. Company &amp; processing role</w:t>
      </w:r>
    </w:p>
    <w:p>
      <w:pPr>
        <w:spacing w:after="40"/>
        <w:ind w:left="403"/>
      </w:pPr>
      <w:r>
        <w:rPr>
          <w:rFonts w:ascii="Arial" w:hAnsi="Arial"/>
          <w:b/>
          <w:color w:val="2A9D8F"/>
          <w:sz w:val="21"/>
        </w:rPr>
        <w:t xml:space="preserve">•  </w:t>
      </w:r>
      <w:r>
        <w:rPr>
          <w:rFonts w:ascii="Arial" w:hAnsi="Arial"/>
          <w:b/>
          <w:sz w:val="21"/>
        </w:rPr>
        <w:t>Vendor:</w:t>
      </w:r>
      <w:r>
        <w:rPr>
          <w:rFonts w:ascii="Arial" w:hAnsi="Arial"/>
          <w:sz w:val="21"/>
        </w:rPr>
        <w:t xml:space="preserve"> Cohort Logic — a multi-product SaaS for K-12 school administrators.</w:t>
      </w:r>
    </w:p>
    <w:p>
      <w:pPr>
        <w:spacing w:after="40"/>
        <w:ind w:left="403"/>
      </w:pPr>
      <w:r>
        <w:rPr>
          <w:rFonts w:ascii="Arial" w:hAnsi="Arial"/>
          <w:b/>
          <w:color w:val="2A9D8F"/>
          <w:sz w:val="21"/>
        </w:rPr>
        <w:t xml:space="preserve">•  </w:t>
      </w:r>
      <w:r>
        <w:rPr>
          <w:rFonts w:ascii="Arial" w:hAnsi="Arial"/>
          <w:b/>
          <w:sz w:val="21"/>
        </w:rPr>
        <w:t>Role under FERPA:</w:t>
      </w:r>
      <w:r>
        <w:rPr>
          <w:rFonts w:ascii="Arial" w:hAnsi="Arial"/>
          <w:sz w:val="21"/>
        </w:rPr>
        <w:t xml:space="preserve"> Cohort Logic acts as a </w:t>
      </w:r>
      <w:r>
        <w:rPr>
          <w:rFonts w:ascii="Arial" w:hAnsi="Arial"/>
          <w:b/>
          <w:sz w:val="21"/>
        </w:rPr>
        <w:t>"school official"</w:t>
      </w:r>
      <w:r>
        <w:rPr>
          <w:rFonts w:ascii="Arial" w:hAnsi="Arial"/>
          <w:sz w:val="21"/>
        </w:rPr>
        <w:t xml:space="preserve"> performing an institutional service for the school/district (the FERPA data controller). The school controls the education records; Cohort Logic processes them only to provide the service. See </w:t>
      </w:r>
      <w:r>
        <w:rPr>
          <w:rFonts w:ascii="Consolas" w:hAnsi="Consolas"/>
          <w:sz w:val="19"/>
        </w:rPr>
        <w:t>03_FERPA_School_Official_Posture.md</w:t>
      </w:r>
      <w:r>
        <w:rPr>
          <w:rFonts w:ascii="Arial" w:hAnsi="Arial"/>
          <w:sz w:val="21"/>
        </w:rPr>
        <w:t>.</w:t>
      </w:r>
    </w:p>
    <w:p>
      <w:pPr>
        <w:spacing w:after="40"/>
        <w:ind w:left="403"/>
      </w:pPr>
      <w:r>
        <w:rPr>
          <w:rFonts w:ascii="Arial" w:hAnsi="Arial"/>
          <w:b/>
          <w:color w:val="2A9D8F"/>
          <w:sz w:val="21"/>
        </w:rPr>
        <w:t xml:space="preserve">•  </w:t>
      </w:r>
      <w:r>
        <w:rPr>
          <w:rFonts w:ascii="Arial" w:hAnsi="Arial"/>
          <w:b/>
          <w:sz w:val="21"/>
        </w:rPr>
        <w:t>Products:</w:t>
      </w:r>
    </w:p>
    <w:p>
      <w:pPr>
        <w:spacing w:after="40"/>
        <w:ind w:left="403"/>
      </w:pPr>
      <w:r>
        <w:rPr>
          <w:rFonts w:ascii="Arial" w:hAnsi="Arial"/>
          <w:b/>
          <w:sz w:val="21"/>
        </w:rPr>
        <w:t xml:space="preserve">1. </w:t>
      </w:r>
      <w:r>
        <w:rPr>
          <w:rFonts w:ascii="Arial" w:hAnsi="Arial"/>
          <w:b/>
          <w:sz w:val="21"/>
        </w:rPr>
        <w:t>Class Builder</w:t>
      </w:r>
      <w:r>
        <w:rPr>
          <w:rFonts w:ascii="Arial" w:hAnsi="Arial"/>
          <w:sz w:val="21"/>
        </w:rPr>
        <w:t xml:space="preserve"> — balanced classroom assignment. </w:t>
      </w:r>
      <w:r>
        <w:rPr>
          <w:rFonts w:ascii="Arial" w:hAnsi="Arial"/>
          <w:b/>
          <w:sz w:val="21"/>
        </w:rPr>
        <w:t>No student data stored server-side</w:t>
      </w:r>
      <w:r>
        <w:rPr>
          <w:rFonts w:ascii="Arial" w:hAnsi="Arial"/>
          <w:sz w:val="21"/>
        </w:rPr>
        <w:t xml:space="preserve"> (see §4).</w:t>
      </w:r>
    </w:p>
    <w:p>
      <w:pPr>
        <w:spacing w:after="40"/>
        <w:ind w:left="403"/>
      </w:pPr>
      <w:r>
        <w:rPr>
          <w:rFonts w:ascii="Arial" w:hAnsi="Arial"/>
          <w:b/>
          <w:sz w:val="21"/>
        </w:rPr>
        <w:t xml:space="preserve">2. </w:t>
      </w:r>
      <w:r>
        <w:rPr>
          <w:rFonts w:ascii="Arial" w:hAnsi="Arial"/>
          <w:b/>
          <w:sz w:val="21"/>
        </w:rPr>
        <w:t>Check-in / Check-out (CICO)</w:t>
      </w:r>
      <w:r>
        <w:rPr>
          <w:rFonts w:ascii="Arial" w:hAnsi="Arial"/>
          <w:sz w:val="21"/>
        </w:rPr>
        <w:t xml:space="preserve"> — daily behavioral tracking. </w:t>
      </w:r>
      <w:r>
        <w:rPr>
          <w:rFonts w:ascii="Arial" w:hAnsi="Arial"/>
          <w:b/>
          <w:sz w:val="21"/>
        </w:rPr>
        <w:t>Stores student education records.</w:t>
      </w:r>
    </w:p>
    <w:p>
      <w:pPr>
        <w:spacing w:after="40"/>
        <w:ind w:left="403"/>
      </w:pPr>
      <w:r>
        <w:rPr>
          <w:rFonts w:ascii="Arial" w:hAnsi="Arial"/>
          <w:b/>
          <w:sz w:val="21"/>
        </w:rPr>
        <w:t xml:space="preserve">3. </w:t>
      </w:r>
      <w:r>
        <w:rPr>
          <w:rFonts w:ascii="Arial" w:hAnsi="Arial"/>
          <w:b/>
          <w:sz w:val="21"/>
        </w:rPr>
        <w:t>Schedule Builder</w:t>
      </w:r>
      <w:r>
        <w:rPr>
          <w:rFonts w:ascii="Arial" w:hAnsi="Arial"/>
          <w:sz w:val="21"/>
        </w:rPr>
        <w:t xml:space="preserve"> — master schedule builder. </w:t>
      </w:r>
      <w:r>
        <w:rPr>
          <w:rFonts w:ascii="Arial" w:hAnsi="Arial"/>
          <w:b/>
          <w:sz w:val="21"/>
        </w:rPr>
        <w:t>No student data stored server-side</w:t>
      </w:r>
      <w:r>
        <w:rPr>
          <w:rFonts w:ascii="Arial" w:hAnsi="Arial"/>
          <w:sz w:val="21"/>
        </w:rPr>
        <w:t xml:space="preserve"> (file-based).</w:t>
      </w:r>
    </w:p>
    <w:p>
      <w:pPr>
        <w:spacing w:after="40"/>
        <w:ind w:left="403"/>
      </w:pPr>
      <w:r>
        <w:rPr>
          <w:rFonts w:ascii="Arial" w:hAnsi="Arial"/>
          <w:b/>
          <w:sz w:val="21"/>
        </w:rPr>
        <w:t xml:space="preserve">4. </w:t>
      </w:r>
      <w:r>
        <w:rPr>
          <w:rFonts w:ascii="Arial" w:hAnsi="Arial"/>
          <w:b/>
          <w:sz w:val="21"/>
        </w:rPr>
        <w:t>Referral Tracking</w:t>
      </w:r>
      <w:r>
        <w:rPr>
          <w:rFonts w:ascii="Arial" w:hAnsi="Arial"/>
          <w:sz w:val="21"/>
        </w:rPr>
        <w:t xml:space="preserve"> — office-discipline referral tracking. </w:t>
      </w:r>
      <w:r>
        <w:rPr>
          <w:rFonts w:ascii="Arial" w:hAnsi="Arial"/>
          <w:b/>
          <w:sz w:val="21"/>
        </w:rPr>
        <w:t>Stores student education records.</w:t>
      </w:r>
    </w:p>
    <w:p>
      <w:pPr>
        <w:spacing w:before="240" w:after="80"/>
      </w:pPr>
      <w:r>
        <w:rPr>
          <w:rFonts w:ascii="Arial" w:hAnsi="Arial"/>
          <w:b/>
          <w:color w:val="1E3A5F"/>
          <w:sz w:val="27"/>
        </w:rPr>
        <w:t>2. Where data lives (systems &amp; sub-processors)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Layer</w:t>
            </w:r>
          </w:p>
        </w:tc>
        <w:tc>
          <w:tcPr>
            <w:tcW w:type="dxa" w:w="1872"/>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Provider</w:t>
            </w:r>
          </w:p>
        </w:tc>
        <w:tc>
          <w:tcPr>
            <w:tcW w:type="dxa" w:w="1872"/>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What it holds</w:t>
            </w:r>
          </w:p>
        </w:tc>
        <w:tc>
          <w:tcPr>
            <w:tcW w:type="dxa" w:w="1872"/>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Region</w:t>
            </w:r>
          </w:p>
        </w:tc>
        <w:tc>
          <w:tcPr>
            <w:tcW w:type="dxa" w:w="1872"/>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DPA status</w:t>
            </w:r>
          </w:p>
        </w:tc>
      </w:tr>
      <w:tr>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Application hosting / CDN / WAF</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b/>
                <w:sz w:val="18"/>
              </w:rPr>
              <w:t>Cloudflare</w:t>
            </w:r>
            <w:r>
              <w:rPr>
                <w:rFonts w:ascii="Arial" w:hAnsi="Arial"/>
                <w:sz w:val="18"/>
              </w:rPr>
              <w:t xml:space="preserve"> (Workers static assets)</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Static app files only; no database</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Global edge</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 Obtain Cloudflare DPA (FE-05)</w:t>
            </w:r>
          </w:p>
        </w:tc>
      </w:tr>
      <w:tr>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Database, Auth, Storage</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b/>
                <w:sz w:val="18"/>
              </w:rPr>
              <w:t>Supabase</w:t>
            </w:r>
            <w:r>
              <w:rPr>
                <w:rFonts w:ascii="Arial" w:hAnsi="Arial"/>
                <w:sz w:val="18"/>
              </w:rPr>
              <w:t xml:space="preserve"> (managed Postgres on </w:t>
            </w:r>
            <w:r>
              <w:rPr>
                <w:rFonts w:ascii="Arial" w:hAnsi="Arial"/>
                <w:b/>
                <w:sz w:val="18"/>
              </w:rPr>
              <w:t>AWS</w:t>
            </w:r>
            <w:r>
              <w:rPr>
                <w:rFonts w:ascii="Arial" w:hAnsi="Arial"/>
                <w:sz w:val="18"/>
              </w:rPr>
              <w:t>)</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All server-side records below</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b/>
                <w:sz w:val="18"/>
              </w:rPr>
              <w:t>CONFIRM US region</w:t>
            </w:r>
            <w:r>
              <w:rPr>
                <w:rFonts w:ascii="Arial" w:hAnsi="Arial"/>
                <w:sz w:val="18"/>
              </w:rPr>
              <w:t xml:space="preserve"> (FE-06)</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 Sign Supabase DPA (FE-05)</w:t>
            </w:r>
          </w:p>
        </w:tc>
      </w:tr>
      <w:tr>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Client device</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End-user browser</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 xml:space="preserve">Class Builder rosters (in-memory) &amp; Schedule Builder files (localStorage / downloaded </w:t>
            </w:r>
            <w:r>
              <w:rPr>
                <w:rFonts w:ascii="Consolas" w:hAnsi="Consolas"/>
                <w:sz w:val="16"/>
              </w:rPr>
              <w:t>.cohortlogic</w:t>
            </w:r>
            <w:r>
              <w:rPr>
                <w:rFonts w:ascii="Arial" w:hAnsi="Arial"/>
                <w:sz w:val="18"/>
              </w:rPr>
              <w:t xml:space="preserve"> file)</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User's device</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N/A (never transmitted to us)</w:t>
            </w:r>
          </w:p>
        </w:tc>
      </w:tr>
    </w:tbl>
    <w:p>
      <w:pPr>
        <w:spacing w:after="120"/>
      </w:pPr>
      <w:r>
        <w:rPr>
          <w:rFonts w:ascii="Arial" w:hAnsi="Arial"/>
          <w:b/>
          <w:sz w:val="21"/>
        </w:rPr>
        <w:t>Sub-processor principle:</w:t>
      </w:r>
      <w:r>
        <w:rPr>
          <w:rFonts w:ascii="Arial" w:hAnsi="Arial"/>
          <w:sz w:val="21"/>
        </w:rPr>
        <w:t xml:space="preserve"> Supabase and Cloudflare are the only sub-processors that touch customer data. Any addition must be added here, disclosed to schools, and covered by a sub-processor DPA before go-live.</w:t>
      </w:r>
    </w:p>
    <w:p>
      <w:pPr>
        <w:spacing w:before="240" w:after="80"/>
      </w:pPr>
      <w:r>
        <w:rPr>
          <w:rFonts w:ascii="Arial" w:hAnsi="Arial"/>
          <w:b/>
          <w:color w:val="1E3A5F"/>
          <w:sz w:val="27"/>
        </w:rPr>
        <w:t>3. Data element inventory (server-side / Supabase)</w:t>
      </w:r>
    </w:p>
    <w:p>
      <w:pPr>
        <w:spacing w:after="120"/>
      </w:pPr>
      <w:r>
        <w:rPr>
          <w:rFonts w:ascii="Arial" w:hAnsi="Arial"/>
          <w:sz w:val="21"/>
        </w:rPr>
        <w:t xml:space="preserve">Legend — </w:t>
      </w:r>
      <w:r>
        <w:rPr>
          <w:rFonts w:ascii="Arial" w:hAnsi="Arial"/>
          <w:b/>
          <w:sz w:val="21"/>
        </w:rPr>
        <w:t>Category:</w:t>
      </w:r>
      <w:r>
        <w:rPr>
          <w:rFonts w:ascii="Arial" w:hAnsi="Arial"/>
          <w:sz w:val="21"/>
        </w:rPr>
        <w:t xml:space="preserve"> SR = Student education record (FERPA) · SP-D = Student demographic (sensitive) · Staff = Staff/user PII · Ops = Operational/marketing · Config = Non-PII configuration.</w:t>
      </w:r>
    </w:p>
    <w:p>
      <w:pPr>
        <w:spacing w:before="160" w:after="60"/>
      </w:pPr>
      <w:r>
        <w:rPr>
          <w:rFonts w:ascii="Arial" w:hAnsi="Arial"/>
          <w:b/>
          <w:color w:val="2A9D8F"/>
          <w:sz w:val="23"/>
        </w:rPr>
        <w:t>3a. Student education records (FERPA-protected)</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Data element</w:t>
            </w:r>
          </w:p>
        </w:tc>
        <w:tc>
          <w:tcPr>
            <w:tcW w:type="dxa" w:w="1872"/>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Table(s)</w:t>
            </w:r>
          </w:p>
        </w:tc>
        <w:tc>
          <w:tcPr>
            <w:tcW w:type="dxa" w:w="1872"/>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Category</w:t>
            </w:r>
          </w:p>
        </w:tc>
        <w:tc>
          <w:tcPr>
            <w:tcW w:type="dxa" w:w="1872"/>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Purpose</w:t>
            </w:r>
          </w:p>
        </w:tc>
        <w:tc>
          <w:tcPr>
            <w:tcW w:type="dxa" w:w="1872"/>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Who can access</w:t>
            </w:r>
          </w:p>
        </w:tc>
      </w:tr>
      <w:tr>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Student name, grade, homeroom/teacher, external student ID</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Consolas" w:hAnsi="Consolas"/>
                <w:sz w:val="16"/>
              </w:rPr>
              <w:t>students</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SR / SP-D</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Roster for CICO &amp; Referrals</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 xml:space="preserve">School's approved users, scoped to their </w:t>
            </w:r>
            <w:r>
              <w:rPr>
                <w:rFonts w:ascii="Consolas" w:hAnsi="Consolas"/>
                <w:sz w:val="16"/>
              </w:rPr>
              <w:t>school_id</w:t>
            </w:r>
            <w:r>
              <w:rPr>
                <w:rFonts w:ascii="Arial" w:hAnsi="Arial"/>
                <w:sz w:val="18"/>
              </w:rPr>
              <w:t xml:space="preserve"> via RLS</w:t>
            </w:r>
          </w:p>
        </w:tc>
      </w:tr>
      <w:tr>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Race/ethnicity, gender, IEP status</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Consolas" w:hAnsi="Consolas"/>
                <w:sz w:val="16"/>
              </w:rPr>
              <w:t>students</w:t>
            </w:r>
            <w:r>
              <w:rPr>
                <w:rFonts w:ascii="Arial" w:hAnsi="Arial"/>
                <w:sz w:val="18"/>
              </w:rPr>
              <w:t xml:space="preserve"> (</w:t>
            </w:r>
            <w:r>
              <w:rPr>
                <w:rFonts w:ascii="Consolas" w:hAnsi="Consolas"/>
                <w:sz w:val="16"/>
              </w:rPr>
              <w:t>race_ethnicity</w:t>
            </w:r>
            <w:r>
              <w:rPr>
                <w:rFonts w:ascii="Arial" w:hAnsi="Arial"/>
                <w:sz w:val="18"/>
              </w:rPr>
              <w:t xml:space="preserve">, </w:t>
            </w:r>
            <w:r>
              <w:rPr>
                <w:rFonts w:ascii="Consolas" w:hAnsi="Consolas"/>
                <w:sz w:val="16"/>
              </w:rPr>
              <w:t>gender</w:t>
            </w:r>
            <w:r>
              <w:rPr>
                <w:rFonts w:ascii="Arial" w:hAnsi="Arial"/>
                <w:sz w:val="18"/>
              </w:rPr>
              <w:t xml:space="preserve">, </w:t>
            </w:r>
            <w:r>
              <w:rPr>
                <w:rFonts w:ascii="Consolas" w:hAnsi="Consolas"/>
                <w:sz w:val="16"/>
              </w:rPr>
              <w:t>iep</w:t>
            </w:r>
            <w:r>
              <w:rPr>
                <w:rFonts w:ascii="Arial" w:hAnsi="Arial"/>
                <w:sz w:val="18"/>
              </w:rPr>
              <w:t>)</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SP-D</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Equity reporting (referral risk indices)</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Same, RLS-scoped</w:t>
            </w:r>
          </w:p>
        </w:tc>
      </w:tr>
      <w:tr>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Daily check-in/check-out records &amp; scores</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Consolas" w:hAnsi="Consolas"/>
                <w:sz w:val="16"/>
              </w:rPr>
              <w:t>cico_checkins</w:t>
            </w:r>
            <w:r>
              <w:rPr>
                <w:rFonts w:ascii="Arial" w:hAnsi="Arial"/>
                <w:sz w:val="18"/>
              </w:rPr>
              <w:t xml:space="preserve">, </w:t>
            </w:r>
            <w:r>
              <w:rPr>
                <w:rFonts w:ascii="Consolas" w:hAnsi="Consolas"/>
                <w:sz w:val="16"/>
              </w:rPr>
              <w:t>cico_period_scores</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SR</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Behavior tracking &amp; reports</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Same school, RLS-scoped</w:t>
            </w:r>
          </w:p>
        </w:tc>
      </w:tr>
      <w:tr>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Behavior incidents</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Consolas" w:hAnsi="Consolas"/>
                <w:sz w:val="16"/>
              </w:rPr>
              <w:t>cico_incidents</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SR</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Behavior tracking</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Same school, RLS-scoped</w:t>
            </w:r>
          </w:p>
        </w:tc>
      </w:tr>
      <w:tr>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Office-discipline referrals (location, behavior, motivation, action, notes, custom fields)</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Consolas" w:hAnsi="Consolas"/>
                <w:sz w:val="16"/>
              </w:rPr>
              <w:t>referral_referrals</w:t>
            </w:r>
            <w:r>
              <w:rPr>
                <w:rFonts w:ascii="Arial" w:hAnsi="Arial"/>
                <w:sz w:val="18"/>
              </w:rPr>
              <w:t xml:space="preserve">, </w:t>
            </w:r>
            <w:r>
              <w:rPr>
                <w:rFonts w:ascii="Consolas" w:hAnsi="Consolas"/>
                <w:sz w:val="16"/>
              </w:rPr>
              <w:t>referral_custom_field_options</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SR</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Referral tracking &amp; reports</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Same school, RLS-scoped; reviewer workflow</w:t>
            </w:r>
          </w:p>
        </w:tc>
      </w:tr>
      <w:tr>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Audit snapshots that may embed student data</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Consolas" w:hAnsi="Consolas"/>
                <w:sz w:val="16"/>
              </w:rPr>
              <w:t>audit_log</w:t>
            </w:r>
            <w:r>
              <w:rPr>
                <w:rFonts w:ascii="Arial" w:hAnsi="Arial"/>
                <w:sz w:val="18"/>
              </w:rPr>
              <w:t xml:space="preserve"> (</w:t>
            </w:r>
            <w:r>
              <w:rPr>
                <w:rFonts w:ascii="Consolas" w:hAnsi="Consolas"/>
                <w:sz w:val="16"/>
              </w:rPr>
              <w:t>old_data</w:t>
            </w:r>
            <w:r>
              <w:rPr>
                <w:rFonts w:ascii="Arial" w:hAnsi="Arial"/>
                <w:sz w:val="18"/>
              </w:rPr>
              <w:t xml:space="preserve">, </w:t>
            </w:r>
            <w:r>
              <w:rPr>
                <w:rFonts w:ascii="Consolas" w:hAnsi="Consolas"/>
                <w:sz w:val="16"/>
              </w:rPr>
              <w:t>new_data</w:t>
            </w:r>
            <w:r>
              <w:rPr>
                <w:rFonts w:ascii="Arial" w:hAnsi="Arial"/>
                <w:sz w:val="18"/>
              </w:rPr>
              <w:t xml:space="preserve"> JSON)</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SR</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FERPA audit trail of changes</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Super-admin only</w:t>
            </w:r>
          </w:p>
        </w:tc>
      </w:tr>
    </w:tbl>
    <w:p>
      <w:pPr>
        <w:spacing w:before="80" w:after="120"/>
        <w:ind w:left="288"/>
        <w:pBdr>
          <w:left w:val="single" w:sz="18" w:space="8" w:color="2A9D8F"/>
        </w:pBdr>
      </w:pPr>
      <w:r>
        <w:rPr>
          <w:rFonts w:ascii="Arial" w:hAnsi="Arial"/>
          <w:b/>
          <w:color w:val="555F6A"/>
          <w:sz w:val="20"/>
        </w:rPr>
        <w:t>CONFIRM:</w:t>
      </w:r>
      <w:r>
        <w:rPr>
          <w:rFonts w:ascii="Arial" w:hAnsi="Arial"/>
          <w:color w:val="555F6A"/>
          <w:sz w:val="20"/>
        </w:rPr>
        <w:t xml:space="preserve"> </w:t>
      </w:r>
      <w:r>
        <w:rPr>
          <w:rFonts w:ascii="Consolas" w:hAnsi="Consolas"/>
          <w:color w:val="555F6A"/>
          <w:sz w:val="18"/>
        </w:rPr>
        <w:t>audit_log.old_data/new_data</w:t>
      </w:r>
      <w:r>
        <w:rPr>
          <w:rFonts w:ascii="Arial" w:hAnsi="Arial"/>
          <w:color w:val="555F6A"/>
          <w:sz w:val="20"/>
        </w:rPr>
        <w:t xml:space="preserve"> can contain copies of student rows. It is therefore an education record store and must be included in retention/deletion (see </w:t>
      </w:r>
      <w:r>
        <w:rPr>
          <w:rFonts w:ascii="Consolas" w:hAnsi="Consolas"/>
          <w:color w:val="555F6A"/>
          <w:sz w:val="18"/>
        </w:rPr>
        <w:t>02_...Retention...</w:t>
      </w:r>
      <w:r>
        <w:rPr>
          <w:rFonts w:ascii="Arial" w:hAnsi="Arial"/>
          <w:color w:val="555F6A"/>
          <w:sz w:val="20"/>
        </w:rPr>
        <w:t>), not treated as "just logs."</w:t>
      </w:r>
    </w:p>
    <w:p>
      <w:pPr>
        <w:spacing w:before="160" w:after="60"/>
      </w:pPr>
      <w:r>
        <w:rPr>
          <w:rFonts w:ascii="Arial" w:hAnsi="Arial"/>
          <w:b/>
          <w:color w:val="2A9D8F"/>
          <w:sz w:val="23"/>
        </w:rPr>
        <w:t>3b. Staff / user PII (school personnel, not students)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Data element</w:t>
            </w:r>
          </w:p>
        </w:tc>
        <w:tc>
          <w:tcPr>
            <w:tcW w:type="dxa" w:w="1872"/>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Table(s)</w:t>
            </w:r>
          </w:p>
        </w:tc>
        <w:tc>
          <w:tcPr>
            <w:tcW w:type="dxa" w:w="1872"/>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Category</w:t>
            </w:r>
          </w:p>
        </w:tc>
        <w:tc>
          <w:tcPr>
            <w:tcW w:type="dxa" w:w="1872"/>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Purpose</w:t>
            </w:r>
          </w:p>
        </w:tc>
        <w:tc>
          <w:tcPr>
            <w:tcW w:type="dxa" w:w="1872"/>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Who can access</w:t>
            </w:r>
          </w:p>
        </w:tc>
      </w:tr>
      <w:tr>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Full name, email, school, role, approval status</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Consolas" w:hAnsi="Consolas"/>
                <w:sz w:val="16"/>
              </w:rPr>
              <w:t>profiles</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Staff</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Authentication, RBAC, approval workflow</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Self; school_admin (same school); super_admin</w:t>
            </w:r>
          </w:p>
        </w:tc>
      </w:tr>
      <w:tr>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Auth identity (email, hashed password, MFA factors)</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Supabase Auth (</w:t>
            </w:r>
            <w:r>
              <w:rPr>
                <w:rFonts w:ascii="Consolas" w:hAnsi="Consolas"/>
                <w:sz w:val="16"/>
              </w:rPr>
              <w:t>auth.users</w:t>
            </w:r>
            <w:r>
              <w:rPr>
                <w:rFonts w:ascii="Arial" w:hAnsi="Arial"/>
                <w:sz w:val="18"/>
              </w:rPr>
              <w:t>)</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Staff</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Login / MFA</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Supabase-managed; not directly readable by app</w:t>
            </w:r>
          </w:p>
        </w:tc>
      </w:tr>
      <w:tr>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Feedback submissions (name, email, message)</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Consolas" w:hAnsi="Consolas"/>
                <w:sz w:val="16"/>
              </w:rPr>
              <w:t>feedback</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Staff/Ops</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Product feedback widget</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super_admin</w:t>
            </w:r>
          </w:p>
        </w:tc>
      </w:tr>
      <w:tr>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Billing / subscription state</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Consolas" w:hAnsi="Consolas"/>
                <w:sz w:val="16"/>
              </w:rPr>
              <w:t>subscriptions</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Ops</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Plan management</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super_admin</w:t>
            </w:r>
          </w:p>
        </w:tc>
      </w:tr>
    </w:tbl>
    <w:p>
      <w:pPr>
        <w:spacing w:before="160" w:after="60"/>
      </w:pPr>
      <w:r>
        <w:rPr>
          <w:rFonts w:ascii="Arial" w:hAnsi="Arial"/>
          <w:b/>
          <w:color w:val="2A9D8F"/>
          <w:sz w:val="23"/>
        </w:rPr>
        <w:t>3c. Marketing &amp; operational (non-student)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Data element</w:t>
            </w:r>
          </w:p>
        </w:tc>
        <w:tc>
          <w:tcPr>
            <w:tcW w:type="dxa" w:w="2340"/>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Table(s)</w:t>
            </w:r>
          </w:p>
        </w:tc>
        <w:tc>
          <w:tcPr>
            <w:tcW w:type="dxa" w:w="2340"/>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Category</w:t>
            </w:r>
          </w:p>
        </w:tc>
        <w:tc>
          <w:tcPr>
            <w:tcW w:type="dxa" w:w="2340"/>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Purpose</w:t>
            </w:r>
          </w:p>
        </w:tc>
      </w:tr>
      <w:tr>
        <w:tc>
          <w:tcPr>
            <w:tcW w:type="dxa" w:w="2340"/>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Contact-form submissions</w:t>
            </w:r>
          </w:p>
        </w:tc>
        <w:tc>
          <w:tcPr>
            <w:tcW w:type="dxa" w:w="2340"/>
            <w:tcBorders>
              <w:top w:val="single" w:sz="4" w:space="0" w:color="C9CED3"/>
              <w:left w:val="single" w:sz="4" w:space="0" w:color="C9CED3"/>
              <w:bottom w:val="single" w:sz="4" w:space="0" w:color="C9CED3"/>
              <w:right w:val="single" w:sz="4" w:space="0" w:color="C9CED3"/>
            </w:tcBorders>
          </w:tcPr>
          <w:p>
            <w:pPr>
              <w:spacing w:after="20"/>
            </w:pPr>
            <w:r>
              <w:rPr>
                <w:rFonts w:ascii="Consolas" w:hAnsi="Consolas"/>
                <w:sz w:val="16"/>
              </w:rPr>
              <w:t>contact_submissions</w:t>
            </w:r>
          </w:p>
        </w:tc>
        <w:tc>
          <w:tcPr>
            <w:tcW w:type="dxa" w:w="2340"/>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Ops</w:t>
            </w:r>
          </w:p>
        </w:tc>
        <w:tc>
          <w:tcPr>
            <w:tcW w:type="dxa" w:w="2340"/>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Sales inquiries</w:t>
            </w:r>
          </w:p>
        </w:tc>
      </w:tr>
      <w:tr>
        <w:tc>
          <w:tcPr>
            <w:tcW w:type="dxa" w:w="2340"/>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Newsletter signups</w:t>
            </w:r>
          </w:p>
        </w:tc>
        <w:tc>
          <w:tcPr>
            <w:tcW w:type="dxa" w:w="2340"/>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Consolas" w:hAnsi="Consolas"/>
                <w:sz w:val="16"/>
              </w:rPr>
              <w:t>newsletter_subscribers</w:t>
            </w:r>
          </w:p>
        </w:tc>
        <w:tc>
          <w:tcPr>
            <w:tcW w:type="dxa" w:w="2340"/>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Ops</w:t>
            </w:r>
          </w:p>
        </w:tc>
        <w:tc>
          <w:tcPr>
            <w:tcW w:type="dxa" w:w="2340"/>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Marketing list</w:t>
            </w:r>
          </w:p>
        </w:tc>
      </w:tr>
      <w:tr>
        <w:tc>
          <w:tcPr>
            <w:tcW w:type="dxa" w:w="2340"/>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Client error captures</w:t>
            </w:r>
          </w:p>
        </w:tc>
        <w:tc>
          <w:tcPr>
            <w:tcW w:type="dxa" w:w="2340"/>
            <w:tcBorders>
              <w:top w:val="single" w:sz="4" w:space="0" w:color="C9CED3"/>
              <w:left w:val="single" w:sz="4" w:space="0" w:color="C9CED3"/>
              <w:bottom w:val="single" w:sz="4" w:space="0" w:color="C9CED3"/>
              <w:right w:val="single" w:sz="4" w:space="0" w:color="C9CED3"/>
            </w:tcBorders>
          </w:tcPr>
          <w:p>
            <w:pPr>
              <w:spacing w:after="20"/>
            </w:pPr>
            <w:r>
              <w:rPr>
                <w:rFonts w:ascii="Consolas" w:hAnsi="Consolas"/>
                <w:sz w:val="16"/>
              </w:rPr>
              <w:t>error_logs</w:t>
            </w:r>
          </w:p>
        </w:tc>
        <w:tc>
          <w:tcPr>
            <w:tcW w:type="dxa" w:w="2340"/>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Ops</w:t>
            </w:r>
          </w:p>
        </w:tc>
        <w:tc>
          <w:tcPr>
            <w:tcW w:type="dxa" w:w="2340"/>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Debugging (avoid storing PII in error payloads — CONFIRM)</w:t>
            </w:r>
          </w:p>
        </w:tc>
      </w:tr>
      <w:tr>
        <w:tc>
          <w:tcPr>
            <w:tcW w:type="dxa" w:w="2340"/>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Class Builder anonymous usage analytics</w:t>
            </w:r>
          </w:p>
        </w:tc>
        <w:tc>
          <w:tcPr>
            <w:tcW w:type="dxa" w:w="2340"/>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Consolas" w:hAnsi="Consolas"/>
                <w:sz w:val="16"/>
              </w:rPr>
              <w:t>sessions</w:t>
            </w:r>
            <w:r>
              <w:rPr>
                <w:rFonts w:ascii="Arial" w:hAnsi="Arial"/>
                <w:sz w:val="18"/>
              </w:rPr>
              <w:t xml:space="preserve">, </w:t>
            </w:r>
            <w:r>
              <w:rPr>
                <w:rFonts w:ascii="Consolas" w:hAnsi="Consolas"/>
                <w:sz w:val="16"/>
              </w:rPr>
              <w:t>events</w:t>
            </w:r>
          </w:p>
        </w:tc>
        <w:tc>
          <w:tcPr>
            <w:tcW w:type="dxa" w:w="2340"/>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Ops</w:t>
            </w:r>
          </w:p>
        </w:tc>
        <w:tc>
          <w:tcPr>
            <w:tcW w:type="dxa" w:w="2340"/>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 xml:space="preserve">Product analytics — </w:t>
            </w:r>
            <w:r>
              <w:rPr>
                <w:rFonts w:ascii="Arial" w:hAnsi="Arial"/>
                <w:b/>
                <w:sz w:val="18"/>
              </w:rPr>
              <w:t>anonymous</w:t>
            </w:r>
            <w:r>
              <w:rPr>
                <w:rFonts w:ascii="Arial" w:hAnsi="Arial"/>
                <w:sz w:val="18"/>
              </w:rPr>
              <w:t>, no student records</w:t>
            </w:r>
          </w:p>
        </w:tc>
      </w:tr>
      <w:tr>
        <w:tc>
          <w:tcPr>
            <w:tcW w:type="dxa" w:w="2340"/>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Feature flags, school &amp; referral config</w:t>
            </w:r>
          </w:p>
        </w:tc>
        <w:tc>
          <w:tcPr>
            <w:tcW w:type="dxa" w:w="2340"/>
            <w:tcBorders>
              <w:top w:val="single" w:sz="4" w:space="0" w:color="C9CED3"/>
              <w:left w:val="single" w:sz="4" w:space="0" w:color="C9CED3"/>
              <w:bottom w:val="single" w:sz="4" w:space="0" w:color="C9CED3"/>
              <w:right w:val="single" w:sz="4" w:space="0" w:color="C9CED3"/>
            </w:tcBorders>
          </w:tcPr>
          <w:p>
            <w:pPr>
              <w:spacing w:after="20"/>
            </w:pPr>
            <w:r>
              <w:rPr>
                <w:rFonts w:ascii="Consolas" w:hAnsi="Consolas"/>
                <w:sz w:val="16"/>
              </w:rPr>
              <w:t>features</w:t>
            </w:r>
            <w:r>
              <w:rPr>
                <w:rFonts w:ascii="Arial" w:hAnsi="Arial"/>
                <w:sz w:val="18"/>
              </w:rPr>
              <w:t xml:space="preserve">, </w:t>
            </w:r>
            <w:r>
              <w:rPr>
                <w:rFonts w:ascii="Consolas" w:hAnsi="Consolas"/>
                <w:sz w:val="16"/>
              </w:rPr>
              <w:t>schools</w:t>
            </w:r>
            <w:r>
              <w:rPr>
                <w:rFonts w:ascii="Arial" w:hAnsi="Arial"/>
                <w:sz w:val="18"/>
              </w:rPr>
              <w:t xml:space="preserve">, </w:t>
            </w:r>
            <w:r>
              <w:rPr>
                <w:rFonts w:ascii="Consolas" w:hAnsi="Consolas"/>
                <w:sz w:val="16"/>
              </w:rPr>
              <w:t>referral_locations/behaviors/motivations/actions/others_involved</w:t>
            </w:r>
            <w:r>
              <w:rPr>
                <w:rFonts w:ascii="Arial" w:hAnsi="Arial"/>
                <w:sz w:val="18"/>
              </w:rPr>
              <w:t xml:space="preserve">, </w:t>
            </w:r>
            <w:r>
              <w:rPr>
                <w:rFonts w:ascii="Consolas" w:hAnsi="Consolas"/>
                <w:sz w:val="16"/>
              </w:rPr>
              <w:t>cico_settings/categories/incident_types</w:t>
            </w:r>
            <w:r>
              <w:rPr>
                <w:rFonts w:ascii="Arial" w:hAnsi="Arial"/>
                <w:sz w:val="18"/>
              </w:rPr>
              <w:t xml:space="preserve">, </w:t>
            </w:r>
            <w:r>
              <w:rPr>
                <w:rFonts w:ascii="Consolas" w:hAnsi="Consolas"/>
                <w:sz w:val="16"/>
              </w:rPr>
              <w:t>referral_settings</w:t>
            </w:r>
            <w:r>
              <w:rPr>
                <w:rFonts w:ascii="Arial" w:hAnsi="Arial"/>
                <w:sz w:val="18"/>
              </w:rPr>
              <w:t xml:space="preserve">, </w:t>
            </w:r>
            <w:r>
              <w:rPr>
                <w:rFonts w:ascii="Consolas" w:hAnsi="Consolas"/>
                <w:sz w:val="16"/>
              </w:rPr>
              <w:t>referral_custom_fields</w:t>
            </w:r>
          </w:p>
        </w:tc>
        <w:tc>
          <w:tcPr>
            <w:tcW w:type="dxa" w:w="2340"/>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Config</w:t>
            </w:r>
          </w:p>
        </w:tc>
        <w:tc>
          <w:tcPr>
            <w:tcW w:type="dxa" w:w="2340"/>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App configuration; no student PII</w:t>
            </w:r>
          </w:p>
        </w:tc>
      </w:tr>
    </w:tbl>
    <w:p>
      <w:pPr>
        <w:spacing w:before="240" w:after="80"/>
      </w:pPr>
      <w:r>
        <w:rPr>
          <w:rFonts w:ascii="Arial" w:hAnsi="Arial"/>
          <w:b/>
          <w:color w:val="1E3A5F"/>
          <w:sz w:val="27"/>
        </w:rPr>
        <w:t>4. Privacy-by-design properties worth advertising</w:t>
      </w:r>
    </w:p>
    <w:p>
      <w:pPr>
        <w:spacing w:after="120"/>
      </w:pPr>
      <w:r>
        <w:rPr>
          <w:rFonts w:ascii="Arial" w:hAnsi="Arial"/>
          <w:sz w:val="21"/>
        </w:rPr>
        <w:t>These are genuine architectural strengths — they belong in questionnaire answers and the Trust page:</w:t>
      </w:r>
    </w:p>
    <w:p>
      <w:pPr>
        <w:spacing w:after="40"/>
        <w:ind w:left="403"/>
      </w:pPr>
      <w:r>
        <w:rPr>
          <w:rFonts w:ascii="Arial" w:hAnsi="Arial"/>
          <w:b/>
          <w:sz w:val="21"/>
        </w:rPr>
        <w:t xml:space="preserve">1. </w:t>
      </w:r>
      <w:r>
        <w:rPr>
          <w:rFonts w:ascii="Arial" w:hAnsi="Arial"/>
          <w:b/>
          <w:sz w:val="21"/>
        </w:rPr>
        <w:t>Class Builder never stores rosters.</w:t>
      </w:r>
      <w:r>
        <w:rPr>
          <w:rFonts w:ascii="Arial" w:hAnsi="Arial"/>
          <w:sz w:val="21"/>
        </w:rPr>
        <w:t xml:space="preserve"> All balancing runs in the browser; the student roster is never uploaded or persisted server-side. Supabase is used only for auth + anonymous usage analytics.</w:t>
      </w:r>
    </w:p>
    <w:p>
      <w:pPr>
        <w:spacing w:after="40"/>
        <w:ind w:left="403"/>
      </w:pPr>
      <w:r>
        <w:rPr>
          <w:rFonts w:ascii="Arial" w:hAnsi="Arial"/>
          <w:b/>
          <w:sz w:val="21"/>
        </w:rPr>
        <w:t xml:space="preserve">2. </w:t>
      </w:r>
      <w:r>
        <w:rPr>
          <w:rFonts w:ascii="Arial" w:hAnsi="Arial"/>
          <w:b/>
          <w:sz w:val="21"/>
        </w:rPr>
        <w:t>Schedule Builder stores no student data server-side.</w:t>
      </w:r>
      <w:r>
        <w:rPr>
          <w:rFonts w:ascii="Arial" w:hAnsi="Arial"/>
          <w:sz w:val="21"/>
        </w:rPr>
        <w:t xml:space="preserve"> Schedule data lives in the browser (localStorage) and in a user-downloaded </w:t>
      </w:r>
      <w:r>
        <w:rPr>
          <w:rFonts w:ascii="Consolas" w:hAnsi="Consolas"/>
          <w:sz w:val="19"/>
        </w:rPr>
        <w:t>.cohortlogic</w:t>
      </w:r>
      <w:r>
        <w:rPr>
          <w:rFonts w:ascii="Arial" w:hAnsi="Arial"/>
          <w:sz w:val="21"/>
        </w:rPr>
        <w:t xml:space="preserve"> file. Supabase is used only for auth + product gating.</w:t>
      </w:r>
    </w:p>
    <w:p>
      <w:pPr>
        <w:spacing w:after="40"/>
        <w:ind w:left="403"/>
      </w:pPr>
      <w:r>
        <w:rPr>
          <w:rFonts w:ascii="Arial" w:hAnsi="Arial"/>
          <w:b/>
          <w:sz w:val="21"/>
        </w:rPr>
        <w:t xml:space="preserve">3. </w:t>
      </w:r>
      <w:r>
        <w:rPr>
          <w:rFonts w:ascii="Arial" w:hAnsi="Arial"/>
          <w:b/>
          <w:sz w:val="21"/>
        </w:rPr>
        <w:t>Strict multi-tenant isolation.</w:t>
      </w:r>
      <w:r>
        <w:rPr>
          <w:rFonts w:ascii="Arial" w:hAnsi="Arial"/>
          <w:sz w:val="21"/>
        </w:rPr>
        <w:t xml:space="preserve"> Every student-data table enforces Postgres Row-Level Security keyed on </w:t>
      </w:r>
      <w:r>
        <w:rPr>
          <w:rFonts w:ascii="Consolas" w:hAnsi="Consolas"/>
          <w:sz w:val="19"/>
        </w:rPr>
        <w:t>school_id</w:t>
      </w:r>
      <w:r>
        <w:rPr>
          <w:rFonts w:ascii="Arial" w:hAnsi="Arial"/>
          <w:sz w:val="21"/>
        </w:rPr>
        <w:t>; a user can only ever read/write their own school's rows. Verified daily by an automated security agent.</w:t>
      </w:r>
    </w:p>
    <w:p>
      <w:pPr>
        <w:spacing w:after="40"/>
        <w:ind w:left="403"/>
      </w:pPr>
      <w:r>
        <w:rPr>
          <w:rFonts w:ascii="Arial" w:hAnsi="Arial"/>
          <w:b/>
          <w:sz w:val="21"/>
        </w:rPr>
        <w:t xml:space="preserve">4. </w:t>
      </w:r>
      <w:r>
        <w:rPr>
          <w:rFonts w:ascii="Arial" w:hAnsi="Arial"/>
          <w:b/>
          <w:sz w:val="21"/>
        </w:rPr>
        <w:t>Data minimization.</w:t>
      </w:r>
      <w:r>
        <w:rPr>
          <w:rFonts w:ascii="Arial" w:hAnsi="Arial"/>
          <w:sz w:val="21"/>
        </w:rPr>
        <w:t xml:space="preserve"> Demographics are collected only where a product needs them (equity reporting) and nowhere else.</w:t>
      </w:r>
    </w:p>
    <w:p>
      <w:pPr>
        <w:spacing w:after="40"/>
        <w:ind w:left="403"/>
      </w:pPr>
      <w:r>
        <w:rPr>
          <w:rFonts w:ascii="Arial" w:hAnsi="Arial"/>
          <w:b/>
          <w:sz w:val="21"/>
        </w:rPr>
        <w:t xml:space="preserve">5. </w:t>
      </w:r>
      <w:r>
        <w:rPr>
          <w:rFonts w:ascii="Arial" w:hAnsi="Arial"/>
          <w:b/>
          <w:sz w:val="21"/>
        </w:rPr>
        <w:t>No sale, no advertising, no secondary use.</w:t>
      </w:r>
      <w:r>
        <w:rPr>
          <w:rFonts w:ascii="Arial" w:hAnsi="Arial"/>
          <w:sz w:val="21"/>
        </w:rPr>
        <w:t xml:space="preserve"> (To be stated explicitly in the privacy policy + DPA — FE-08.)</w:t>
      </w:r>
    </w:p>
    <w:p>
      <w:pPr>
        <w:spacing w:before="240" w:after="80"/>
      </w:pPr>
      <w:r>
        <w:rPr>
          <w:rFonts w:ascii="Arial" w:hAnsi="Arial"/>
          <w:b/>
          <w:color w:val="1E3A5F"/>
          <w:sz w:val="27"/>
        </w:rPr>
        <w:t>5. Data flow (narrative)</w:t>
      </w:r>
    </w:p>
    <w:p>
      <w:pPr>
        <w:spacing w:after="40"/>
        <w:ind w:left="403"/>
      </w:pPr>
      <w:r>
        <w:rPr>
          <w:rFonts w:ascii="Arial" w:hAnsi="Arial"/>
          <w:b/>
          <w:color w:val="2A9D8F"/>
          <w:sz w:val="21"/>
        </w:rPr>
        <w:t xml:space="preserve">•  </w:t>
      </w:r>
      <w:r>
        <w:rPr>
          <w:rFonts w:ascii="Arial" w:hAnsi="Arial"/>
          <w:b/>
          <w:sz w:val="21"/>
        </w:rPr>
        <w:t>CICO / Referrals (student data):</w:t>
      </w:r>
      <w:r>
        <w:rPr>
          <w:rFonts w:ascii="Arial" w:hAnsi="Arial"/>
          <w:sz w:val="21"/>
        </w:rPr>
        <w:t xml:space="preserve"> School admin is approved → assigned a </w:t>
      </w:r>
      <w:r>
        <w:rPr>
          <w:rFonts w:ascii="Consolas" w:hAnsi="Consolas"/>
          <w:sz w:val="19"/>
        </w:rPr>
        <w:t>school_id</w:t>
      </w:r>
      <w:r>
        <w:rPr>
          <w:rFonts w:ascii="Arial" w:hAnsi="Arial"/>
          <w:sz w:val="21"/>
        </w:rPr>
        <w:t xml:space="preserve"> → creates/imports students → staff record check-ins/referrals in-browser → written to Supabase over TLS → RLS confines every read/write to that </w:t>
      </w:r>
      <w:r>
        <w:rPr>
          <w:rFonts w:ascii="Consolas" w:hAnsi="Consolas"/>
          <w:sz w:val="19"/>
        </w:rPr>
        <w:t>school_id</w:t>
      </w:r>
      <w:r>
        <w:rPr>
          <w:rFonts w:ascii="Arial" w:hAnsi="Arial"/>
          <w:sz w:val="21"/>
        </w:rPr>
        <w:t xml:space="preserve"> → reports computed from that school's rows → audit_log records changes.</w:t>
      </w:r>
    </w:p>
    <w:p>
      <w:pPr>
        <w:spacing w:after="40"/>
        <w:ind w:left="403"/>
      </w:pPr>
      <w:r>
        <w:rPr>
          <w:rFonts w:ascii="Arial" w:hAnsi="Arial"/>
          <w:b/>
          <w:color w:val="2A9D8F"/>
          <w:sz w:val="21"/>
        </w:rPr>
        <w:t xml:space="preserve">•  </w:t>
      </w:r>
      <w:r>
        <w:rPr>
          <w:rFonts w:ascii="Arial" w:hAnsi="Arial"/>
          <w:b/>
          <w:sz w:val="21"/>
        </w:rPr>
        <w:t>Class Builder:</w:t>
      </w:r>
      <w:r>
        <w:rPr>
          <w:rFonts w:ascii="Arial" w:hAnsi="Arial"/>
          <w:sz w:val="21"/>
        </w:rPr>
        <w:t xml:space="preserve"> User uploads a roster file → parsed and balanced entirely in the browser → results downloaded as Excel → nothing student-identifying is sent to Supabase (only anonymous </w:t>
      </w:r>
      <w:r>
        <w:rPr>
          <w:rFonts w:ascii="Consolas" w:hAnsi="Consolas"/>
          <w:sz w:val="19"/>
        </w:rPr>
        <w:t>sessions</w:t>
      </w:r>
      <w:r>
        <w:rPr>
          <w:rFonts w:ascii="Arial" w:hAnsi="Arial"/>
          <w:sz w:val="21"/>
        </w:rPr>
        <w:t>/</w:t>
      </w:r>
      <w:r>
        <w:rPr>
          <w:rFonts w:ascii="Consolas" w:hAnsi="Consolas"/>
          <w:sz w:val="19"/>
        </w:rPr>
        <w:t>events</w:t>
      </w:r>
      <w:r>
        <w:rPr>
          <w:rFonts w:ascii="Arial" w:hAnsi="Arial"/>
          <w:sz w:val="21"/>
        </w:rPr>
        <w:t xml:space="preserve"> counters).</w:t>
      </w:r>
    </w:p>
    <w:p>
      <w:pPr>
        <w:spacing w:after="40"/>
        <w:ind w:left="403"/>
      </w:pPr>
      <w:r>
        <w:rPr>
          <w:rFonts w:ascii="Arial" w:hAnsi="Arial"/>
          <w:b/>
          <w:color w:val="2A9D8F"/>
          <w:sz w:val="21"/>
        </w:rPr>
        <w:t xml:space="preserve">•  </w:t>
      </w:r>
      <w:r>
        <w:rPr>
          <w:rFonts w:ascii="Arial" w:hAnsi="Arial"/>
          <w:b/>
          <w:sz w:val="21"/>
        </w:rPr>
        <w:t>Schedule Builder:</w:t>
      </w:r>
      <w:r>
        <w:rPr>
          <w:rFonts w:ascii="Arial" w:hAnsi="Arial"/>
          <w:sz w:val="21"/>
        </w:rPr>
        <w:t xml:space="preserve"> User builds a schedule in-browser → saved to localStorage and/or downloaded as a </w:t>
      </w:r>
      <w:r>
        <w:rPr>
          <w:rFonts w:ascii="Consolas" w:hAnsi="Consolas"/>
          <w:sz w:val="19"/>
        </w:rPr>
        <w:t>.cohortlogic</w:t>
      </w:r>
      <w:r>
        <w:rPr>
          <w:rFonts w:ascii="Arial" w:hAnsi="Arial"/>
          <w:sz w:val="21"/>
        </w:rPr>
        <w:t xml:space="preserve"> file → no student data sent to Supabase.</w:t>
      </w:r>
    </w:p>
    <w:p>
      <w:pPr>
        <w:spacing w:before="240" w:after="80"/>
      </w:pPr>
      <w:r>
        <w:rPr>
          <w:rFonts w:ascii="Arial" w:hAnsi="Arial"/>
          <w:b/>
          <w:color w:val="1E3A5F"/>
          <w:sz w:val="27"/>
        </w:rPr>
        <w:t>6. Open items feeding other documents</w:t>
      </w:r>
    </w:p>
    <w:p>
      <w:pPr>
        <w:spacing w:after="40"/>
        <w:ind w:left="403"/>
      </w:pPr>
      <w:r>
        <w:rPr>
          <w:rFonts w:ascii="Arial" w:hAnsi="Arial"/>
          <w:b/>
          <w:color w:val="2A9D8F"/>
          <w:sz w:val="21"/>
        </w:rPr>
        <w:t xml:space="preserve">•  </w:t>
      </w:r>
      <w:r>
        <w:rPr>
          <w:rFonts w:ascii="Arial" w:hAnsi="Arial"/>
          <w:b/>
          <w:sz w:val="21"/>
        </w:rPr>
        <w:t>FE-06:</w:t>
      </w:r>
      <w:r>
        <w:rPr>
          <w:rFonts w:ascii="Arial" w:hAnsi="Arial"/>
          <w:sz w:val="21"/>
        </w:rPr>
        <w:t xml:space="preserve"> Confirm and document the Supabase project's AWS region (US) and that backups stay in-region.</w:t>
      </w:r>
    </w:p>
    <w:p>
      <w:pPr>
        <w:spacing w:after="40"/>
        <w:ind w:left="403"/>
      </w:pPr>
      <w:r>
        <w:rPr>
          <w:rFonts w:ascii="Arial" w:hAnsi="Arial"/>
          <w:b/>
          <w:color w:val="2A9D8F"/>
          <w:sz w:val="21"/>
        </w:rPr>
        <w:t xml:space="preserve">•  </w:t>
      </w:r>
      <w:r>
        <w:rPr>
          <w:rFonts w:ascii="Arial" w:hAnsi="Arial"/>
          <w:b/>
          <w:sz w:val="21"/>
        </w:rPr>
        <w:t>FE-05:</w:t>
      </w:r>
      <w:r>
        <w:rPr>
          <w:rFonts w:ascii="Arial" w:hAnsi="Arial"/>
          <w:sz w:val="21"/>
        </w:rPr>
        <w:t xml:space="preserve"> Sign Supabase + Cloudflare DPAs; publish this sub-processor list on the Trust page (PR-10).</w:t>
      </w:r>
    </w:p>
    <w:p>
      <w:pPr>
        <w:spacing w:after="40"/>
        <w:ind w:left="403"/>
      </w:pPr>
      <w:r>
        <w:rPr>
          <w:rFonts w:ascii="Arial" w:hAnsi="Arial"/>
          <w:b/>
          <w:color w:val="2A9D8F"/>
          <w:sz w:val="21"/>
        </w:rPr>
        <w:t xml:space="preserve">•  </w:t>
      </w:r>
      <w:r>
        <w:rPr>
          <w:rFonts w:ascii="Arial" w:hAnsi="Arial"/>
          <w:b/>
          <w:sz w:val="21"/>
        </w:rPr>
        <w:t>FE-07:</w:t>
      </w:r>
      <w:r>
        <w:rPr>
          <w:rFonts w:ascii="Arial" w:hAnsi="Arial"/>
          <w:sz w:val="21"/>
        </w:rPr>
        <w:t xml:space="preserve"> This inventory is the input to the retention &amp; deletion policy.</w:t>
      </w:r>
    </w:p>
    <w:p>
      <w:pPr>
        <w:spacing w:after="40"/>
        <w:ind w:left="403"/>
      </w:pPr>
      <w:r>
        <w:rPr>
          <w:rFonts w:ascii="Arial" w:hAnsi="Arial"/>
          <w:b/>
          <w:color w:val="2A9D8F"/>
          <w:sz w:val="21"/>
        </w:rPr>
        <w:t xml:space="preserve">•  </w:t>
      </w:r>
      <w:r>
        <w:rPr>
          <w:rFonts w:ascii="Arial" w:hAnsi="Arial"/>
          <w:b/>
          <w:sz w:val="21"/>
        </w:rPr>
        <w:t>DPA/NDPA:</w:t>
      </w:r>
      <w:r>
        <w:rPr>
          <w:rFonts w:ascii="Arial" w:hAnsi="Arial"/>
          <w:sz w:val="21"/>
        </w:rPr>
        <w:t xml:space="preserve"> §3a + §3b become the NDPA </w:t>
      </w:r>
      <w:r>
        <w:rPr>
          <w:rFonts w:ascii="Arial" w:hAnsi="Arial"/>
          <w:b/>
          <w:sz w:val="21"/>
        </w:rPr>
        <w:t>"Exhibit B — Schedule of Data"</w:t>
      </w:r>
      <w:r>
        <w:rPr>
          <w:rFonts w:ascii="Arial" w:hAnsi="Arial"/>
          <w:sz w:val="21"/>
        </w:rPr>
        <w:t xml:space="preserve"> a district will require (see </w:t>
      </w:r>
      <w:r>
        <w:rPr>
          <w:rFonts w:ascii="Consolas" w:hAnsi="Consolas"/>
          <w:sz w:val="19"/>
        </w:rPr>
        <w:t>07_DPA_and_NDPA_Readiness.md</w:t>
      </w:r>
      <w:r>
        <w:rPr>
          <w:rFonts w:ascii="Arial" w:hAnsi="Arial"/>
          <w:sz w:val="21"/>
        </w:rPr>
        <w:t xml:space="preserve"> §4 for the prepared selection).</w:t>
      </w:r>
    </w:p>
    <w:p>
      <w:pPr>
        <w:spacing w:after="40"/>
        <w:ind w:left="403"/>
      </w:pPr>
      <w:r>
        <w:rPr>
          <w:rFonts w:ascii="Arial" w:hAnsi="Arial"/>
          <w:b/>
          <w:color w:val="2A9D8F"/>
          <w:sz w:val="21"/>
        </w:rPr>
        <w:t xml:space="preserve">•  </w:t>
      </w:r>
      <w:r>
        <w:rPr>
          <w:rFonts w:ascii="Arial" w:hAnsi="Arial"/>
          <w:b/>
          <w:sz w:val="21"/>
        </w:rPr>
        <w:t>CONFIRM flags:</w:t>
      </w:r>
      <w:r>
        <w:rPr>
          <w:rFonts w:ascii="Arial" w:hAnsi="Arial"/>
          <w:sz w:val="21"/>
        </w:rPr>
        <w:t xml:space="preserve"> </w:t>
      </w:r>
      <w:r>
        <w:rPr>
          <w:rFonts w:ascii="Consolas" w:hAnsi="Consolas"/>
          <w:sz w:val="19"/>
        </w:rPr>
        <w:t>audit_log</w:t>
      </w:r>
      <w:r>
        <w:rPr>
          <w:rFonts w:ascii="Arial" w:hAnsi="Arial"/>
          <w:sz w:val="21"/>
        </w:rPr>
        <w:t xml:space="preserve"> PII handling; </w:t>
      </w:r>
      <w:r>
        <w:rPr>
          <w:rFonts w:ascii="Consolas" w:hAnsi="Consolas"/>
          <w:sz w:val="19"/>
        </w:rPr>
        <w:t>error_logs</w:t>
      </w:r>
      <w:r>
        <w:rPr>
          <w:rFonts w:ascii="Arial" w:hAnsi="Arial"/>
          <w:sz w:val="21"/>
        </w:rPr>
        <w:t xml:space="preserve"> payload hygiene; Supabase region.</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