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FERPA "School Official" Posture Memo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FE-01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 (Cohort Logic) — </w:t>
      </w:r>
      <w:r>
        <w:rPr>
          <w:rFonts w:ascii="Arial" w:hAnsi="Arial"/>
          <w:b/>
          <w:sz w:val="21"/>
        </w:rPr>
        <w:t>requires attorney review before relied upon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— internal working memo to align product/contract language with FERPA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b/>
          <w:color w:val="555F6A"/>
          <w:sz w:val="20"/>
        </w:rPr>
        <w:t>This is not legal advice.</w:t>
      </w:r>
      <w:r>
        <w:rPr>
          <w:rFonts w:ascii="Arial" w:hAnsi="Arial"/>
          <w:color w:val="555F6A"/>
          <w:sz w:val="20"/>
        </w:rPr>
        <w:t xml:space="preserve"> It is a plain-language working memo so that our contracts, privacy policy, and product all tell the same, defensible FERPA story. A licensed education-privacy attorney must confirm the regulatory reading and the contract language (FE-02, BI-08/09/10) before we rely on it with a paying district.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1. The question</w:t>
      </w:r>
    </w:p>
    <w:p>
      <w:pPr>
        <w:spacing w:after="120"/>
      </w:pPr>
      <w:r>
        <w:rPr>
          <w:rFonts w:ascii="Arial" w:hAnsi="Arial"/>
          <w:sz w:val="21"/>
        </w:rPr>
        <w:t xml:space="preserve">FERPA (20 U.S.C. § 1232g; 34 CFR Part 99) generally bars a school from disclosing personally identifiable information (PII) from a student's </w:t>
      </w:r>
      <w:r>
        <w:rPr>
          <w:rFonts w:ascii="Arial" w:hAnsi="Arial"/>
          <w:b/>
          <w:sz w:val="21"/>
        </w:rPr>
        <w:t>education records</w:t>
      </w:r>
      <w:r>
        <w:rPr>
          <w:rFonts w:ascii="Arial" w:hAnsi="Arial"/>
          <w:sz w:val="21"/>
        </w:rPr>
        <w:t xml:space="preserve"> without written parental consent. A cloud vendor like Cohort Logic receives that PII. </w:t>
      </w:r>
      <w:r>
        <w:rPr>
          <w:rFonts w:ascii="Arial" w:hAnsi="Arial"/>
          <w:b/>
          <w:sz w:val="21"/>
        </w:rPr>
        <w:t>What lets a district share student data with us without collecting individual parental consents?</w:t>
      </w:r>
    </w:p>
    <w:p>
      <w:pPr>
        <w:spacing w:after="120"/>
      </w:pPr>
      <w:r>
        <w:rPr>
          <w:rFonts w:ascii="Arial" w:hAnsi="Arial"/>
          <w:sz w:val="21"/>
        </w:rPr>
        <w:t xml:space="preserve">Answer: the </w:t>
      </w:r>
      <w:r>
        <w:rPr>
          <w:rFonts w:ascii="Arial" w:hAnsi="Arial"/>
          <w:b/>
          <w:sz w:val="21"/>
        </w:rPr>
        <w:t>"school official" exception</w:t>
      </w:r>
      <w:r>
        <w:rPr>
          <w:rFonts w:ascii="Arial" w:hAnsi="Arial"/>
          <w:sz w:val="21"/>
        </w:rPr>
        <w:t xml:space="preserve"> (34 CFR § 99.31(a)(1)(i)(B)), which lets a school designate an outside party as a "school official" with a "legitimate educational interest," provided specific conditions are met.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2. The four conditions (and how Cohort Logic meets each)</w:t>
      </w:r>
    </w:p>
    <w:p>
      <w:pPr>
        <w:spacing w:after="120"/>
      </w:pPr>
      <w:r>
        <w:rPr>
          <w:rFonts w:ascii="Arial" w:hAnsi="Arial"/>
          <w:sz w:val="21"/>
        </w:rPr>
        <w:t>To qualify as a school official, the outside party must: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FERPA condition (34 CFR §99.31(a)(1)(i)(B) &amp; §99.33)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How Cohort Logic satisfies it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Performs an institutional service or function</w:t>
            </w:r>
            <w:r>
              <w:rPr>
                <w:rFonts w:ascii="Arial" w:hAnsi="Arial"/>
                <w:sz w:val="18"/>
              </w:rPr>
              <w:t xml:space="preserve"> for which the school would otherwise use employees.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We provide classroom balancing, behavior tracking (CICO), scheduling, and referral tracking — administrative functions a school would otherwise staff internally.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Is under the </w:t>
            </w:r>
            <w:r>
              <w:rPr>
                <w:rFonts w:ascii="Arial" w:hAnsi="Arial"/>
                <w:b/>
                <w:sz w:val="18"/>
              </w:rPr>
              <w:t>direct control</w:t>
            </w:r>
            <w:r>
              <w:rPr>
                <w:rFonts w:ascii="Arial" w:hAnsi="Arial"/>
                <w:sz w:val="18"/>
              </w:rPr>
              <w:t xml:space="preserve"> of the school with respect to the </w:t>
            </w:r>
            <w:r>
              <w:rPr>
                <w:rFonts w:ascii="Arial" w:hAnsi="Arial"/>
                <w:b/>
                <w:sz w:val="18"/>
              </w:rPr>
              <w:t>use and maintenance</w:t>
            </w:r>
            <w:r>
              <w:rPr>
                <w:rFonts w:ascii="Arial" w:hAnsi="Arial"/>
                <w:sz w:val="18"/>
              </w:rPr>
              <w:t xml:space="preserve"> of education records.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The district's DPA gives it control: it grants/revokes access, directs permitted use, and can require return/deletion. Operationally, the school approves its own users and controls its roster; our staff do not use the data independently.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Uses education records only for authorized purposes</w:t>
            </w:r>
            <w:r>
              <w:rPr>
                <w:rFonts w:ascii="Arial" w:hAnsi="Arial"/>
                <w:sz w:val="18"/>
              </w:rPr>
              <w:t xml:space="preserve"> and </w:t>
            </w:r>
            <w:r>
              <w:rPr>
                <w:rFonts w:ascii="Arial" w:hAnsi="Arial"/>
                <w:b/>
                <w:sz w:val="18"/>
              </w:rPr>
              <w:t>does not redisclose</w:t>
            </w:r>
            <w:r>
              <w:rPr>
                <w:rFonts w:ascii="Arial" w:hAnsi="Arial"/>
                <w:sz w:val="18"/>
              </w:rPr>
              <w:t xml:space="preserve"> PII to third parties (§99.33(a)) unless the school authorizes it.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Contract commits us to use data solely to provide the service; no sale, no advertising, no secondary use, no training of models. Sub-processors (Supabase, Cloudflare) are disclosed and bound; no other redisclosure.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 xml:space="preserve">The school uses </w:t>
            </w:r>
            <w:r>
              <w:rPr>
                <w:rFonts w:ascii="Arial" w:hAnsi="Arial"/>
                <w:b/>
                <w:sz w:val="18"/>
              </w:rPr>
              <w:t>reasonable methods</w:t>
            </w:r>
            <w:r>
              <w:rPr>
                <w:rFonts w:ascii="Arial" w:hAnsi="Arial"/>
                <w:sz w:val="18"/>
              </w:rPr>
              <w:t xml:space="preserve"> to ensure the vendor accesses only records in which it has a legitimate educational interest.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Multi-tenant Row-Level Security restricts every user (and by extension the service) to a single school's data; roles further scope access within a school.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3. What we must have in place to stand behind this</w:t>
      </w:r>
    </w:p>
    <w:p>
      <w:pPr>
        <w:spacing w:after="120"/>
      </w:pPr>
      <w:r>
        <w:rPr>
          <w:rFonts w:ascii="Arial" w:hAnsi="Arial"/>
          <w:sz w:val="21"/>
        </w:rPr>
        <w:t xml:space="preserve">FERPA compliance here is </w:t>
      </w:r>
      <w:r>
        <w:rPr>
          <w:rFonts w:ascii="Arial" w:hAnsi="Arial"/>
          <w:b/>
          <w:sz w:val="21"/>
        </w:rPr>
        <w:t>mostly contractual and operational</w:t>
      </w:r>
      <w:r>
        <w:rPr>
          <w:rFonts w:ascii="Arial" w:hAnsi="Arial"/>
          <w:sz w:val="21"/>
        </w:rPr>
        <w:t>, not a certificate. To be defensible we need: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DPA language</w:t>
      </w:r>
      <w:r>
        <w:rPr>
          <w:rFonts w:ascii="Arial" w:hAnsi="Arial"/>
          <w:sz w:val="21"/>
        </w:rPr>
        <w:t xml:space="preserve"> in every school contract that expressly: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designates Cohort Logic as a school official with a legitimate educational interest;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places us under the district's </w:t>
      </w:r>
      <w:r>
        <w:rPr>
          <w:rFonts w:ascii="Arial" w:hAnsi="Arial"/>
          <w:b/>
          <w:sz w:val="21"/>
        </w:rPr>
        <w:t>direct control</w:t>
      </w:r>
      <w:r>
        <w:rPr>
          <w:rFonts w:ascii="Arial" w:hAnsi="Arial"/>
          <w:sz w:val="21"/>
        </w:rPr>
        <w:t xml:space="preserve"> for use and maintenance of education records;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limits use</w:t>
      </w:r>
      <w:r>
        <w:rPr>
          <w:rFonts w:ascii="Arial" w:hAnsi="Arial"/>
          <w:sz w:val="21"/>
        </w:rPr>
        <w:t xml:space="preserve"> to providing the service and </w:t>
      </w:r>
      <w:r>
        <w:rPr>
          <w:rFonts w:ascii="Arial" w:hAnsi="Arial"/>
          <w:b/>
          <w:sz w:val="21"/>
        </w:rPr>
        <w:t>prohibits redisclosure</w:t>
      </w:r>
      <w:r>
        <w:rPr>
          <w:rFonts w:ascii="Arial" w:hAnsi="Arial"/>
          <w:sz w:val="21"/>
        </w:rPr>
        <w:t xml:space="preserve"> and secondary use;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requires </w:t>
      </w:r>
      <w:r>
        <w:rPr>
          <w:rFonts w:ascii="Arial" w:hAnsi="Arial"/>
          <w:b/>
          <w:sz w:val="21"/>
        </w:rPr>
        <w:t>return or deletion</w:t>
      </w:r>
      <w:r>
        <w:rPr>
          <w:rFonts w:ascii="Arial" w:hAnsi="Arial"/>
          <w:sz w:val="21"/>
        </w:rPr>
        <w:t xml:space="preserve"> of data on termination (see </w:t>
      </w:r>
      <w:r>
        <w:rPr>
          <w:rFonts w:ascii="Consolas" w:hAnsi="Consolas"/>
          <w:sz w:val="19"/>
        </w:rPr>
        <w:t>02_...Retention...</w:t>
      </w:r>
      <w:r>
        <w:rPr>
          <w:rFonts w:ascii="Arial" w:hAnsi="Arial"/>
          <w:sz w:val="21"/>
        </w:rPr>
        <w:t>);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lists </w:t>
      </w:r>
      <w:r>
        <w:rPr>
          <w:rFonts w:ascii="Arial" w:hAnsi="Arial"/>
          <w:b/>
          <w:sz w:val="21"/>
        </w:rPr>
        <w:t>sub-processors</w:t>
      </w:r>
      <w:r>
        <w:rPr>
          <w:rFonts w:ascii="Arial" w:hAnsi="Arial"/>
          <w:sz w:val="21"/>
        </w:rPr>
        <w:t xml:space="preserve"> and binds them to equivalent terms;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commits us to </w:t>
      </w:r>
      <w:r>
        <w:rPr>
          <w:rFonts w:ascii="Arial" w:hAnsi="Arial"/>
          <w:b/>
          <w:sz w:val="21"/>
        </w:rPr>
        <w:t>reasonable security</w:t>
      </w:r>
      <w:r>
        <w:rPr>
          <w:rFonts w:ascii="Arial" w:hAnsi="Arial"/>
          <w:sz w:val="21"/>
        </w:rPr>
        <w:t xml:space="preserve"> (our RLS/encryption/audit posture).</w:t>
      </w:r>
    </w:p>
    <w:p>
      <w:pPr>
        <w:spacing w:after="120"/>
      </w:pPr>
      <w:r>
        <w:rPr>
          <w:rFonts w:ascii="Arial" w:hAnsi="Arial"/>
          <w:sz w:val="21"/>
        </w:rPr>
        <w:t xml:space="preserve">→ Tracker: FE-02 (DPA template), aligned to the SDPC </w:t>
      </w:r>
      <w:r>
        <w:rPr>
          <w:rFonts w:ascii="Arial" w:hAnsi="Arial"/>
          <w:b/>
          <w:sz w:val="21"/>
        </w:rPr>
        <w:t>NDPA</w:t>
      </w:r>
      <w:r>
        <w:rPr>
          <w:rFonts w:ascii="Arial" w:hAnsi="Arial"/>
          <w:sz w:val="21"/>
        </w:rPr>
        <w:t xml:space="preserve"> (FE-03).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A privacy policy</w:t>
      </w:r>
      <w:r>
        <w:rPr>
          <w:rFonts w:ascii="Arial" w:hAnsi="Arial"/>
          <w:sz w:val="21"/>
        </w:rPr>
        <w:t xml:space="preserve"> that states the no-sale / no-advertising / no-secondary-use commitments explicitly (FE-08).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The operational reality matching the paper:</w:t>
      </w:r>
      <w:r>
        <w:rPr>
          <w:rFonts w:ascii="Arial" w:hAnsi="Arial"/>
          <w:sz w:val="21"/>
        </w:rPr>
        <w:t xml:space="preserve"> access controls, audit logging, deletion capability, sub-processor list — all of which we largely have and which the daily security agent monitors.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4. Adjacent obligations (flag, handled elsewhere)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COPPA</w:t>
      </w:r>
      <w:r>
        <w:rPr>
          <w:rFonts w:ascii="Arial" w:hAnsi="Arial"/>
          <w:sz w:val="21"/>
        </w:rPr>
        <w:t xml:space="preserve"> (under-13 students): the school can consent on parents' behalf for educational use, but we must not use the data commercially and must delete on request — consistent with §2 above. (FE-09)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State laws</w:t>
      </w:r>
      <w:r>
        <w:rPr>
          <w:rFonts w:ascii="Arial" w:hAnsi="Arial"/>
          <w:sz w:val="21"/>
        </w:rPr>
        <w:t xml:space="preserve"> frequently add specifics on top of FERPA (e.g., NY Ed Law 2-d's Parents' Bill of Rights + security plan; IL SOPPA's breach timeline; CA SOPIPA's operator duties). Tracked in the state matrix (FE-10) and </w:t>
      </w:r>
      <w:r>
        <w:rPr>
          <w:rFonts w:ascii="Consolas" w:hAnsi="Consolas"/>
          <w:sz w:val="19"/>
        </w:rPr>
        <w:t>06_State_Student_Privacy_Matrix.md</w:t>
      </w:r>
      <w:r>
        <w:rPr>
          <w:rFonts w:ascii="Arial" w:hAnsi="Arial"/>
          <w:sz w:val="21"/>
        </w:rPr>
        <w:t>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Directory information / consent nuances</w:t>
      </w:r>
      <w:r>
        <w:rPr>
          <w:rFonts w:ascii="Arial" w:hAnsi="Arial"/>
          <w:sz w:val="21"/>
        </w:rPr>
        <w:t xml:space="preserve"> are the school's determination, not ours — but our contract should not undercut them.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5. Bottom line</w:t>
      </w:r>
    </w:p>
    <w:p>
      <w:pPr>
        <w:spacing w:after="120"/>
      </w:pPr>
      <w:r>
        <w:rPr>
          <w:rFonts w:ascii="Arial" w:hAnsi="Arial"/>
          <w:sz w:val="21"/>
        </w:rPr>
        <w:t xml:space="preserve">Cohort Logic's </w:t>
      </w:r>
      <w:r>
        <w:rPr>
          <w:rFonts w:ascii="Arial" w:hAnsi="Arial"/>
          <w:b/>
          <w:sz w:val="21"/>
        </w:rPr>
        <w:t>architecture already supports</w:t>
      </w:r>
      <w:r>
        <w:rPr>
          <w:rFonts w:ascii="Arial" w:hAnsi="Arial"/>
          <w:sz w:val="21"/>
        </w:rPr>
        <w:t xml:space="preserve"> a clean school-official posture (tenant isolation, minimization, audit, no secondary use). The </w:t>
      </w:r>
      <w:r>
        <w:rPr>
          <w:rFonts w:ascii="Arial" w:hAnsi="Arial"/>
          <w:b/>
          <w:sz w:val="21"/>
        </w:rPr>
        <w:t>gap is paper</w:t>
      </w:r>
      <w:r>
        <w:rPr>
          <w:rFonts w:ascii="Arial" w:hAnsi="Arial"/>
          <w:sz w:val="21"/>
        </w:rPr>
        <w:t>: an attorney-reviewed DPA/NDPA and privacy policy that state the four conditions explicitly. Closing FE-02, FE-03, and FE-08 converts a good technical story into a contract a district's counsel can sign.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