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Data Breach Notification Policy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FE-12 (operational companion to SE-12 Incident Response Plan)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 (Cohort Logic) — </w:t>
      </w:r>
      <w:r>
        <w:rPr>
          <w:rFonts w:ascii="Arial" w:hAnsi="Arial"/>
          <w:b/>
          <w:sz w:val="21"/>
        </w:rPr>
        <w:t>requires attorney review before contractual use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— statutory timelines below are research-sourced and marked where they still need counsel verification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Under FERPA, the </w:t>
      </w:r>
      <w:r>
        <w:rPr>
          <w:rFonts w:ascii="Arial" w:hAnsi="Arial"/>
          <w:b/>
          <w:color w:val="555F6A"/>
          <w:sz w:val="20"/>
        </w:rPr>
        <w:t>school/district is the controller</w:t>
      </w:r>
      <w:r>
        <w:rPr>
          <w:rFonts w:ascii="Arial" w:hAnsi="Arial"/>
          <w:color w:val="555F6A"/>
          <w:sz w:val="20"/>
        </w:rPr>
        <w:t xml:space="preserve"> of education records and Cohort Logic is a processor acting under the district's direct control. FERPA itself imposes </w:t>
      </w:r>
      <w:r>
        <w:rPr>
          <w:rFonts w:ascii="Arial" w:hAnsi="Arial"/>
          <w:b/>
          <w:color w:val="555F6A"/>
          <w:sz w:val="20"/>
        </w:rPr>
        <w:t>no</w:t>
      </w:r>
      <w:r>
        <w:rPr>
          <w:rFonts w:ascii="Arial" w:hAnsi="Arial"/>
          <w:color w:val="555F6A"/>
          <w:sz w:val="20"/>
        </w:rPr>
        <w:t xml:space="preserve"> breach-notification mandate — the duty comes from </w:t>
      </w:r>
      <w:r>
        <w:rPr>
          <w:rFonts w:ascii="Arial" w:hAnsi="Arial"/>
          <w:b/>
          <w:color w:val="555F6A"/>
          <w:sz w:val="20"/>
        </w:rPr>
        <w:t>(a) the contract/DPA and (b) state law</w:t>
      </w:r>
      <w:r>
        <w:rPr>
          <w:rFonts w:ascii="Arial" w:hAnsi="Arial"/>
          <w:color w:val="555F6A"/>
          <w:sz w:val="20"/>
        </w:rPr>
        <w:t>. This policy sets a single internal standard that satisfies the strictest state we've identified.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The notification chain</w:t>
      </w:r>
    </w:p>
    <w:p>
      <w:pPr>
        <w:spacing w:after="120"/>
      </w:pPr>
      <w:r>
        <w:rPr>
          <w:rFonts w:ascii="Arial" w:hAnsi="Arial"/>
          <w:b/>
          <w:sz w:val="21"/>
        </w:rPr>
        <w:t>Vendor → District → Parents/Regulators.</w:t>
      </w:r>
      <w:r>
        <w:rPr>
          <w:rFonts w:ascii="Arial" w:hAnsi="Arial"/>
          <w:sz w:val="21"/>
        </w:rPr>
        <w:t xml:space="preserve"> Cohort Logic notifies the </w:t>
      </w:r>
      <w:r>
        <w:rPr>
          <w:rFonts w:ascii="Arial" w:hAnsi="Arial"/>
          <w:b/>
          <w:sz w:val="21"/>
        </w:rPr>
        <w:t>affected school/district</w:t>
      </w:r>
      <w:r>
        <w:rPr>
          <w:rFonts w:ascii="Arial" w:hAnsi="Arial"/>
          <w:sz w:val="21"/>
        </w:rPr>
        <w:t xml:space="preserve"> (our customer, the data controller). The district then notifies parents/eligible students and any state regulator. We </w:t>
      </w:r>
      <w:r>
        <w:rPr>
          <w:rFonts w:ascii="Arial" w:hAnsi="Arial"/>
          <w:b/>
          <w:sz w:val="21"/>
        </w:rPr>
        <w:t>support</w:t>
      </w:r>
      <w:r>
        <w:rPr>
          <w:rFonts w:ascii="Arial" w:hAnsi="Arial"/>
          <w:sz w:val="21"/>
        </w:rPr>
        <w:t xml:space="preserve"> the district's notification (facts, scope, cost) but do not notify parents directly unless a contract specifically directs it.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What counts as a breach</w:t>
      </w:r>
    </w:p>
    <w:p>
      <w:pPr>
        <w:spacing w:after="120"/>
      </w:pPr>
      <w:r>
        <w:rPr>
          <w:rFonts w:ascii="Arial" w:hAnsi="Arial"/>
          <w:sz w:val="21"/>
        </w:rPr>
        <w:t>Unauthorized access to, acquisition of, disclosure of, or loss of student PII or other personal data we process — confirmed or reasonably believed. When student PII may be involved, treat it as a breach and start the clock; downgrade only after investigation proves no exposure. (Severity classification lives in the IRP, §3.)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The internal standard: 72-hour default, 7-day hard ceiling</w:t>
      </w:r>
    </w:p>
    <w:p>
      <w:pPr>
        <w:spacing w:after="120"/>
      </w:pPr>
      <w:r>
        <w:rPr>
          <w:rFonts w:ascii="Arial" w:hAnsi="Arial"/>
          <w:sz w:val="21"/>
        </w:rPr>
        <w:t>To avoid tracking a different deadline per state under pressure, Cohort Logic commits internally to: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Notify the affected district within 72 hours</w:t>
      </w:r>
      <w:r>
        <w:rPr>
          <w:rFonts w:ascii="Arial" w:hAnsi="Arial"/>
          <w:sz w:val="21"/>
        </w:rPr>
        <w:t xml:space="preserve"> of confirming a breach involving their data (default), </w:t>
      </w:r>
      <w:r>
        <w:rPr>
          <w:rFonts w:ascii="Arial" w:hAnsi="Arial"/>
          <w:b/>
          <w:sz w:val="21"/>
        </w:rPr>
        <w:t>and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Never later than 7 calendar days</w:t>
      </w:r>
      <w:r>
        <w:rPr>
          <w:rFonts w:ascii="Arial" w:hAnsi="Arial"/>
          <w:sz w:val="21"/>
        </w:rPr>
        <w:t xml:space="preserve"> after discovery (absolute ceiling — this is New York's statutory limit for third-party contractors and is the strictest we've found).</w:t>
      </w:r>
    </w:p>
    <w:p>
      <w:pPr>
        <w:spacing w:after="120"/>
      </w:pPr>
      <w:r>
        <w:rPr>
          <w:rFonts w:ascii="Arial" w:hAnsi="Arial"/>
          <w:sz w:val="21"/>
        </w:rPr>
        <w:t xml:space="preserve">This default comfortably satisfies the state windows below. Individual district contracts may specify tighter windows (24–48 hours is common in negotiated DPAs) — </w:t>
      </w:r>
      <w:r>
        <w:rPr>
          <w:rFonts w:ascii="Arial" w:hAnsi="Arial"/>
          <w:b/>
          <w:sz w:val="21"/>
        </w:rPr>
        <w:t>the contract's window always wins if stricter.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Statutory timelines that bind us (verified via research, confirm final text with counsel)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Jurisdiction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New York</w:t>
            </w:r>
            <w:r>
              <w:rPr>
                <w:rFonts w:ascii="Arial" w:hAnsi="Arial"/>
                <w:sz w:val="18"/>
              </w:rPr>
              <w:t xml:space="preserve"> (Ed Law 2-d / 8 NYCRR §121.10)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Contractor → agency: </w:t>
            </w:r>
            <w:r>
              <w:rPr>
                <w:rFonts w:ascii="Arial" w:hAnsi="Arial"/>
                <w:b/>
                <w:sz w:val="18"/>
              </w:rPr>
              <w:t>≤ 7 calendar days</w:t>
            </w:r>
            <w:r>
              <w:rPr>
                <w:rFonts w:ascii="Arial" w:hAnsi="Arial"/>
                <w:sz w:val="18"/>
              </w:rPr>
              <w:t xml:space="preserve"> after discovery. (Agency → NYSED: 10 days; agency → parents: 60 days.) Contractor must </w:t>
            </w:r>
            <w:r>
              <w:rPr>
                <w:rFonts w:ascii="Arial" w:hAnsi="Arial"/>
                <w:b/>
                <w:sz w:val="18"/>
              </w:rPr>
              <w:t>reimburse the agency's notification costs</w:t>
            </w:r>
            <w:r>
              <w:rPr>
                <w:rFonts w:ascii="Arial" w:hAnsi="Arial"/>
                <w:sz w:val="18"/>
              </w:rPr>
              <w:t xml:space="preserve"> when the breach is attributable to the contractor.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8 NYCRR §121.10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Illinois</w:t>
            </w:r>
            <w:r>
              <w:rPr>
                <w:rFonts w:ascii="Arial" w:hAnsi="Arial"/>
                <w:sz w:val="18"/>
              </w:rPr>
              <w:t xml:space="preserve"> (SOPPA, 105 ILCS 85)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Operator → school: </w:t>
            </w:r>
            <w:r>
              <w:rPr>
                <w:rFonts w:ascii="Arial" w:hAnsi="Arial"/>
                <w:b/>
                <w:sz w:val="18"/>
              </w:rPr>
              <w:t>≤ 30 days</w:t>
            </w:r>
            <w:r>
              <w:rPr>
                <w:rFonts w:ascii="Arial" w:hAnsi="Arial"/>
                <w:sz w:val="18"/>
              </w:rPr>
              <w:t xml:space="preserve"> after determining a breach occurred; school posts public notice within 10 days. </w:t>
            </w:r>
            <w:r>
              <w:rPr>
                <w:rFonts w:ascii="Arial" w:hAnsi="Arial"/>
                <w:b/>
                <w:sz w:val="18"/>
              </w:rPr>
              <w:t>[Verify 30-day figure against 105 ILCS 85/30 text.]</w:t>
            </w:r>
            <w:r>
              <w:rPr>
                <w:rFonts w:ascii="Arial" w:hAnsi="Arial"/>
                <w:sz w:val="18"/>
              </w:rPr>
              <w:t xml:space="preserve"> Breach details become </w:t>
            </w:r>
            <w:r>
              <w:rPr>
                <w:rFonts w:ascii="Arial" w:hAnsi="Arial"/>
                <w:b/>
                <w:sz w:val="18"/>
              </w:rPr>
              <w:t>public</w:t>
            </w:r>
            <w:r>
              <w:rPr>
                <w:rFonts w:ascii="Arial" w:hAnsi="Arial"/>
                <w:sz w:val="18"/>
              </w:rPr>
              <w:t xml:space="preserve"> via the district's required transparency posting.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105 ILCS 85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Connecticut</w:t>
            </w:r>
            <w:r>
              <w:rPr>
                <w:rFonts w:ascii="Arial" w:hAnsi="Arial"/>
                <w:sz w:val="18"/>
              </w:rPr>
              <w:t xml:space="preserve"> (PA 16-189, C.G.S. §10-234dd)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Contractor → board: initial notice "as soon as reasonably possible"; detailed notice </w:t>
            </w:r>
            <w:r>
              <w:rPr>
                <w:rFonts w:ascii="Arial" w:hAnsi="Arial"/>
                <w:b/>
                <w:sz w:val="18"/>
              </w:rPr>
              <w:t>≤ 30 days</w:t>
            </w:r>
            <w:r>
              <w:rPr>
                <w:rFonts w:ascii="Arial" w:hAnsi="Arial"/>
                <w:sz w:val="18"/>
              </w:rPr>
              <w:t xml:space="preserve"> after discovery. </w:t>
            </w:r>
            <w:r>
              <w:rPr>
                <w:rFonts w:ascii="Arial" w:hAnsi="Arial"/>
                <w:b/>
                <w:sz w:val="18"/>
              </w:rPr>
              <w:t>[Verify against §10-234dd.]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C.G.S. §10-234aa–dd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California</w:t>
            </w:r>
            <w:r>
              <w:rPr>
                <w:rFonts w:ascii="Arial" w:hAnsi="Arial"/>
                <w:sz w:val="18"/>
              </w:rPr>
              <w:t xml:space="preserve"> (SOPIPA / general breach law Civ. Code §1798.82)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 sector-specific vendor day-count; "most expedient time possible, without unreasonable delay."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Civ. Code §1798.82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Colorado</w:t>
            </w:r>
            <w:r>
              <w:rPr>
                <w:rFonts w:ascii="Arial" w:hAnsi="Arial"/>
                <w:sz w:val="18"/>
              </w:rPr>
              <w:t xml:space="preserve"> (C.R.S. Art. 22-16 + general §6-1-716)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General breach statute = </w:t>
            </w:r>
            <w:r>
              <w:rPr>
                <w:rFonts w:ascii="Arial" w:hAnsi="Arial"/>
                <w:b/>
                <w:sz w:val="18"/>
              </w:rPr>
              <w:t>30 days</w:t>
            </w:r>
            <w:r>
              <w:rPr>
                <w:rFonts w:ascii="Arial" w:hAnsi="Arial"/>
                <w:sz w:val="18"/>
              </w:rPr>
              <w:t xml:space="preserve">; provider-specific day-count under the student act </w:t>
            </w:r>
            <w:r>
              <w:rPr>
                <w:rFonts w:ascii="Arial" w:hAnsi="Arial"/>
                <w:b/>
                <w:sz w:val="18"/>
              </w:rPr>
              <w:t>[unverified — confirm]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C.R.S. §6-1-716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Texas / Virginia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Vendor breach timelines </w:t>
            </w:r>
            <w:r>
              <w:rPr>
                <w:rFonts w:ascii="Arial" w:hAnsi="Arial"/>
                <w:b/>
                <w:sz w:val="18"/>
              </w:rPr>
              <w:t>[unverified — confirm codified sections]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State matrix (</w:t>
            </w:r>
            <w:r>
              <w:rPr>
                <w:rFonts w:ascii="Consolas" w:hAnsi="Consolas"/>
                <w:sz w:val="16"/>
              </w:rPr>
              <w:t>06_...</w:t>
            </w:r>
            <w:r>
              <w:rPr>
                <w:rFonts w:ascii="Arial" w:hAnsi="Arial"/>
                <w:sz w:val="18"/>
              </w:rPr>
              <w:t>)</w:t>
            </w:r>
          </w:p>
        </w:tc>
      </w:tr>
    </w:tbl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>Our 72-hour default + 7-day ceiling is designed so that meeting our own standard automatically meets every row above.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5. Response procedure (ties to the IRP)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Detect &amp; confirm</w:t>
      </w:r>
      <w:r>
        <w:rPr>
          <w:rFonts w:ascii="Arial" w:hAnsi="Arial"/>
          <w:sz w:val="21"/>
        </w:rPr>
        <w:t xml:space="preserve"> (IRP phases 1–3): scope which schools, which data elements, how many records. Preserve evidence.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Engage counsel + cyber-insurer first</w:t>
      </w:r>
      <w:r>
        <w:rPr>
          <w:rFonts w:ascii="Arial" w:hAnsi="Arial"/>
          <w:sz w:val="21"/>
        </w:rPr>
        <w:t xml:space="preserve"> (before external comms). Late insurer notice can void coverage; counsel scopes legal obligations.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Assess</w:t>
      </w:r>
      <w:r>
        <w:rPr>
          <w:rFonts w:ascii="Arial" w:hAnsi="Arial"/>
          <w:sz w:val="21"/>
        </w:rPr>
        <w:t xml:space="preserve"> whether student PII was actually accessed/acquired (informs whether/what to notify).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Notify each affected district</w:t>
      </w:r>
      <w:r>
        <w:rPr>
          <w:rFonts w:ascii="Arial" w:hAnsi="Arial"/>
          <w:sz w:val="21"/>
        </w:rPr>
        <w:t xml:space="preserve"> within the §3 window. Provide: what happened, when, which of their data elements/records, what we've done to contain, what we recommend, and our contact. Offer to bear notification costs where required (e.g., NY).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/>
          <w:sz w:val="21"/>
        </w:rPr>
        <w:t>Support the district's downstream notifications</w:t>
      </w:r>
      <w:r>
        <w:rPr>
          <w:rFonts w:ascii="Arial" w:hAnsi="Arial"/>
          <w:sz w:val="21"/>
        </w:rPr>
        <w:t xml:space="preserve"> to parents/regulators with facts and cost.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b/>
          <w:sz w:val="21"/>
        </w:rPr>
        <w:t>Document</w:t>
      </w:r>
      <w:r>
        <w:rPr>
          <w:rFonts w:ascii="Arial" w:hAnsi="Arial"/>
          <w:sz w:val="21"/>
        </w:rPr>
        <w:t xml:space="preserve"> the whole timeline in the incident record and </w:t>
      </w:r>
      <w:r>
        <w:rPr>
          <w:rFonts w:ascii="Consolas" w:hAnsi="Consolas"/>
          <w:sz w:val="19"/>
        </w:rPr>
        <w:t>audit_log</w:t>
      </w:r>
      <w:r>
        <w:rPr>
          <w:rFonts w:ascii="Arial" w:hAnsi="Arial"/>
          <w:sz w:val="21"/>
        </w:rPr>
        <w:t>; retain for the records period.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7. </w:t>
      </w:r>
      <w:r>
        <w:rPr>
          <w:rFonts w:ascii="Arial" w:hAnsi="Arial"/>
          <w:b/>
          <w:sz w:val="21"/>
        </w:rPr>
        <w:t>Post-incident review</w:t>
      </w:r>
      <w:r>
        <w:rPr>
          <w:rFonts w:ascii="Arial" w:hAnsi="Arial"/>
          <w:sz w:val="21"/>
        </w:rPr>
        <w:t xml:space="preserve"> (IRP phase 6): root cause → corrective actions filed as tracker items.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6. Notice contents (to the district)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Date/time of discovery and (est.) of the incident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The specific data elements and approximate record/student count affected, scoped to that district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Cause and current containment status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Steps taken and planned; recommended district actions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Whether Cohort Logic will bear notification costs (per contract/state law)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A single point of contact (the Incident Commander)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7. Standing commitments to put in the DPA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Notify without unreasonable delay, and within the contractual window (default we offer: ≤ 72 hours; hard ceiling ≤ 7 days).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Cooperate fully with the district's investigation and parent notification.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Bear notification costs where the breach is attributable to us (required by NY; offer generally).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Maintain the security controls that make a breach less likely (RLS isolation, encryption, MFA, audit logging, daily security agent).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