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State Student-Privacy Law Matrix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FE-10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research-sourced; statute citations/timelines marked </w:t>
      </w:r>
      <w:r>
        <w:rPr>
          <w:rFonts w:ascii="Consolas" w:hAnsi="Consolas"/>
          <w:sz w:val="19"/>
        </w:rPr>
        <w:t>[VERIFY]</w:t>
      </w:r>
      <w:r>
        <w:rPr>
          <w:rFonts w:ascii="Arial" w:hAnsi="Arial"/>
          <w:sz w:val="21"/>
        </w:rPr>
        <w:t xml:space="preserve"> must be confirmed by counsel before relied upon in a contract or public statement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Claude), from background legal research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Selling nationwide means layering </w:t>
      </w:r>
      <w:r>
        <w:rPr>
          <w:rFonts w:ascii="Arial" w:hAnsi="Arial"/>
          <w:b/>
          <w:color w:val="555F6A"/>
          <w:sz w:val="20"/>
        </w:rPr>
        <w:t>state</w:t>
      </w:r>
      <w:r>
        <w:rPr>
          <w:rFonts w:ascii="Arial" w:hAnsi="Arial"/>
          <w:color w:val="555F6A"/>
          <w:sz w:val="20"/>
        </w:rPr>
        <w:t xml:space="preserve"> student-privacy laws on top of FERPA/COPPA. Most impose the same core operator duties (no sale, no targeted ads, purpose limitation, security, deletion); the differences that matter operationally are </w:t>
      </w:r>
      <w:r>
        <w:rPr>
          <w:rFonts w:ascii="Arial" w:hAnsi="Arial"/>
          <w:b/>
          <w:color w:val="555F6A"/>
          <w:sz w:val="20"/>
        </w:rPr>
        <w:t>breach timelines</w:t>
      </w:r>
      <w:r>
        <w:rPr>
          <w:rFonts w:ascii="Arial" w:hAnsi="Arial"/>
          <w:color w:val="555F6A"/>
          <w:sz w:val="20"/>
        </w:rPr>
        <w:t xml:space="preserve"> and </w:t>
      </w:r>
      <w:r>
        <w:rPr>
          <w:rFonts w:ascii="Arial" w:hAnsi="Arial"/>
          <w:b/>
          <w:color w:val="555F6A"/>
          <w:sz w:val="20"/>
        </w:rPr>
        <w:t>specific artifacts</w:t>
      </w:r>
      <w:r>
        <w:rPr>
          <w:rFonts w:ascii="Arial" w:hAnsi="Arial"/>
          <w:color w:val="555F6A"/>
          <w:sz w:val="20"/>
        </w:rPr>
        <w:t xml:space="preserve"> (e.g., NY's Parents' Bill of Rights + NIST-aligned security plan). Build to the strictest common denominator and you cover most states.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Comparison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Statute</w:t>
            </w:r>
          </w:p>
        </w:tc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Top vendor obligations</w:t>
            </w:r>
          </w:p>
        </w:tc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Breach timeline (vendor → school unless noted)</w:t>
            </w:r>
          </w:p>
        </w:tc>
        <w:tc>
          <w:tcPr>
            <w:tcW w:type="dxa" w:w="156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CA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SOPIPA (Bus. &amp; Prof. Code §22584); AB 1584 (Ed. Code §49073.1)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Operators marketed for K-12 (SOPIPA applies </w:t>
            </w:r>
            <w:r>
              <w:rPr>
                <w:rFonts w:ascii="Arial" w:hAnsi="Arial"/>
                <w:b/>
                <w:sz w:val="18"/>
              </w:rPr>
              <w:t>even without a contract</w:t>
            </w:r>
            <w:r>
              <w:rPr>
                <w:rFonts w:ascii="Arial" w:hAnsi="Arial"/>
                <w:sz w:val="18"/>
              </w:rPr>
              <w:t>) + contract parties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sale; no targeted ads; no student profiling except for school purposes; reasonable security; deletion on request; contract keeps records as district property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sector-specific day-count; general Civ. Code §1798.82 ("without unreasonable delay")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law.cornell / findlaw (§22584)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NY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Education Law §2-d; 8 NYCRR Part 121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Educational agencies + </w:t>
            </w:r>
            <w:r>
              <w:rPr>
                <w:rFonts w:ascii="Arial" w:hAnsi="Arial"/>
                <w:b/>
                <w:sz w:val="18"/>
              </w:rPr>
              <w:t>third-party contractors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Adopt </w:t>
            </w:r>
            <w:r>
              <w:rPr>
                <w:rFonts w:ascii="Arial" w:hAnsi="Arial"/>
                <w:b/>
                <w:sz w:val="18"/>
              </w:rPr>
              <w:t>Parents' Bill of Rights</w:t>
            </w:r>
            <w:r>
              <w:rPr>
                <w:rFonts w:ascii="Arial" w:hAnsi="Arial"/>
                <w:sz w:val="18"/>
              </w:rPr>
              <w:t xml:space="preserve">; maintain a </w:t>
            </w:r>
            <w:r>
              <w:rPr>
                <w:rFonts w:ascii="Arial" w:hAnsi="Arial"/>
                <w:b/>
                <w:sz w:val="18"/>
              </w:rPr>
              <w:t>Data Security &amp; Privacy Plan aligned to NIST CSF</w:t>
            </w:r>
            <w:r>
              <w:rPr>
                <w:rFonts w:ascii="Arial" w:hAnsi="Arial"/>
                <w:sz w:val="18"/>
              </w:rPr>
              <w:t>; purpose limitation; no sale/marketing; encryption; subcontractor flow-down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7 calendar days</w:t>
            </w:r>
            <w:r>
              <w:rPr>
                <w:rFonts w:ascii="Arial" w:hAnsi="Arial"/>
                <w:sz w:val="18"/>
              </w:rPr>
              <w:t xml:space="preserve"> to agency; agency→NYSED 10 days; agency→parents 60 days; </w:t>
            </w:r>
            <w:r>
              <w:rPr>
                <w:rFonts w:ascii="Arial" w:hAnsi="Arial"/>
                <w:b/>
                <w:sz w:val="18"/>
              </w:rPr>
              <w:t>contractor reimburses notification cost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nysed.gov; 8 NYCRR §121.10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IL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SOPPA (105 ILCS 85), strengthened eff. 2021-07-01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Operators + districts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Written agreement before receiving data</w:t>
            </w:r>
            <w:r>
              <w:rPr>
                <w:rFonts w:ascii="Arial" w:hAnsi="Arial"/>
                <w:sz w:val="18"/>
              </w:rPr>
              <w:t>; reasonable security; no sale/rent; no targeted ads; deletion; support district's public transparency posting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30 days</w:t>
            </w:r>
            <w:r>
              <w:rPr>
                <w:rFonts w:ascii="Arial" w:hAnsi="Arial"/>
                <w:sz w:val="18"/>
              </w:rPr>
              <w:t xml:space="preserve"> to school </w:t>
            </w:r>
            <w:r>
              <w:rPr>
                <w:rFonts w:ascii="Consolas" w:hAnsi="Consolas"/>
                <w:sz w:val="16"/>
              </w:rPr>
              <w:t>[VERIFY]</w:t>
            </w:r>
            <w:r>
              <w:rPr>
                <w:rFonts w:ascii="Arial" w:hAnsi="Arial"/>
                <w:sz w:val="18"/>
              </w:rPr>
              <w:t xml:space="preserve">; school posts within 10 days; </w:t>
            </w:r>
            <w:r>
              <w:rPr>
                <w:rFonts w:ascii="Arial" w:hAnsi="Arial"/>
                <w:b/>
                <w:sz w:val="18"/>
              </w:rPr>
              <w:t>DPA + data elements become public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ktjlaw / SOPPA summaries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CO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Student Data Transparency &amp; Security Act (HB 16-1423; C.R.S. §22-16-101 et seq.)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School service contract/on-demand providers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sale; no targeted ads; purpose limitation; deletion; security policy; transparency publication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Provider-specific day-count </w:t>
            </w:r>
            <w:r>
              <w:rPr>
                <w:rFonts w:ascii="Consolas" w:hAnsi="Consolas"/>
                <w:sz w:val="16"/>
              </w:rPr>
              <w:t>[VERIFY]</w:t>
            </w:r>
            <w:r>
              <w:rPr>
                <w:rFonts w:ascii="Arial" w:hAnsi="Arial"/>
                <w:sz w:val="18"/>
              </w:rPr>
              <w:t>; general §6-1-716 = 30 days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cde.state.co.us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VA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Va. Code §22.1-289.01 </w:t>
            </w:r>
            <w:r>
              <w:rPr>
                <w:rFonts w:ascii="Consolas" w:hAnsi="Consolas"/>
                <w:sz w:val="16"/>
              </w:rPr>
              <w:t>[cite VERIFY]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Providers under contract with school divisions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Comprehensive infosec program; no secondary/unauthorized use; subcontractor equivalence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[VERIFY]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edprivacy.com/state-guides/virginia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TX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Tex. Educ. Code §§32.151–32.156 (HB 2087) </w:t>
            </w:r>
            <w:r>
              <w:rPr>
                <w:rFonts w:ascii="Consolas" w:hAnsi="Consolas"/>
                <w:sz w:val="16"/>
              </w:rPr>
              <w:t>[sections VERIFY]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Operators of school-purpose sites/apps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sale; no targeted ads; no profiling; reasonable security; deletion; may require state data-sharing agreement w/ unique ID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[VERIFY]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capitol.texas.gov</w:t>
            </w:r>
          </w:p>
        </w:tc>
      </w:tr>
      <w:tr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CT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Student Data Privacy Act (PA 16-189; C.G.S. §§10-234aa–dd)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Contractors with boards of education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secondary use; deletion; security; required contract provisions; breach cost-bearing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Initial "ASAP"; detailed </w:t>
            </w:r>
            <w:r>
              <w:rPr>
                <w:rFonts w:ascii="Arial" w:hAnsi="Arial"/>
                <w:b/>
                <w:sz w:val="18"/>
              </w:rPr>
              <w:t>≤30 days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[VERIFY]</w:t>
            </w:r>
          </w:p>
        </w:tc>
        <w:tc>
          <w:tcPr>
            <w:tcW w:type="dxa" w:w="156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law.justia.com (§10-234aa)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What this means for the product &amp; contracts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The common core is already our design goal:</w:t>
      </w:r>
      <w:r>
        <w:rPr>
          <w:rFonts w:ascii="Arial" w:hAnsi="Arial"/>
          <w:sz w:val="21"/>
        </w:rPr>
        <w:t xml:space="preserve"> no sale, no targeted advertising, no secondary use, purpose limitation, reasonable security, deletion on request. Stating these plainly in the privacy policy (FE-08) and DPA (FE-02) satisfies the bulk of every state above.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New York is the high bar.</w:t>
      </w:r>
      <w:r>
        <w:rPr>
          <w:rFonts w:ascii="Arial" w:hAnsi="Arial"/>
          <w:sz w:val="21"/>
        </w:rPr>
        <w:t xml:space="preserve"> If you pursue NY districts you must produce a </w:t>
      </w:r>
      <w:r>
        <w:rPr>
          <w:rFonts w:ascii="Arial" w:hAnsi="Arial"/>
          <w:b/>
          <w:sz w:val="21"/>
        </w:rPr>
        <w:t>Parents' Bill of Rights</w:t>
      </w:r>
      <w:r>
        <w:rPr>
          <w:rFonts w:ascii="Arial" w:hAnsi="Arial"/>
          <w:sz w:val="21"/>
        </w:rPr>
        <w:t xml:space="preserve"> and a </w:t>
      </w:r>
      <w:r>
        <w:rPr>
          <w:rFonts w:ascii="Arial" w:hAnsi="Arial"/>
          <w:b/>
          <w:sz w:val="21"/>
        </w:rPr>
        <w:t>Data Security &amp; Privacy Plan aligned to the NIST Cybersecurity Framework</w:t>
      </w:r>
      <w:r>
        <w:rPr>
          <w:rFonts w:ascii="Arial" w:hAnsi="Arial"/>
          <w:sz w:val="21"/>
        </w:rPr>
        <w:t xml:space="preserve">, and accept a </w:t>
      </w:r>
      <w:r>
        <w:rPr>
          <w:rFonts w:ascii="Arial" w:hAnsi="Arial"/>
          <w:b/>
          <w:sz w:val="21"/>
        </w:rPr>
        <w:t>7-day</w:t>
      </w:r>
      <w:r>
        <w:rPr>
          <w:rFonts w:ascii="Arial" w:hAnsi="Arial"/>
          <w:sz w:val="21"/>
        </w:rPr>
        <w:t xml:space="preserve"> breach-notice ceiling with cost reimbursement. Aligning your security program to NIST CSF also earns credit on the NDPA's Exhibit F and is good practice everywhere. (Tracker: FE-11.)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Illinois makes your DPA public.</w:t>
      </w:r>
      <w:r>
        <w:rPr>
          <w:rFonts w:ascii="Arial" w:hAnsi="Arial"/>
          <w:sz w:val="21"/>
        </w:rPr>
        <w:t xml:space="preserve"> Under SOPPA, districts publish the operator list, the data elements collected, and the agreements. Assume your NDPA </w:t>
      </w:r>
      <w:r>
        <w:rPr>
          <w:rFonts w:ascii="Arial" w:hAnsi="Arial"/>
          <w:b/>
          <w:sz w:val="21"/>
        </w:rPr>
        <w:t>Exhibit B (Schedule of Data)</w:t>
      </w:r>
      <w:r>
        <w:rPr>
          <w:rFonts w:ascii="Arial" w:hAnsi="Arial"/>
          <w:sz w:val="21"/>
        </w:rPr>
        <w:t xml:space="preserve"> will be visible to parents — keep it accurate and minimal.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California's SOPIPA binds you even without a signed contract</w:t>
      </w:r>
      <w:r>
        <w:rPr>
          <w:rFonts w:ascii="Arial" w:hAnsi="Arial"/>
          <w:sz w:val="21"/>
        </w:rPr>
        <w:t xml:space="preserve"> because you're "marketed for K-12." The no-sale/no-ads/no-profiling duties are not contingent on a district agreement.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Breach timing:</w:t>
      </w:r>
      <w:r>
        <w:rPr>
          <w:rFonts w:ascii="Arial" w:hAnsi="Arial"/>
          <w:sz w:val="21"/>
        </w:rPr>
        <w:t xml:space="preserve"> the </w:t>
      </w:r>
      <w:r>
        <w:rPr>
          <w:rFonts w:ascii="Arial" w:hAnsi="Arial"/>
          <w:b/>
          <w:sz w:val="21"/>
        </w:rPr>
        <w:t>72-hour default / 7-day ceiling</w:t>
      </w:r>
      <w:r>
        <w:rPr>
          <w:rFonts w:ascii="Arial" w:hAnsi="Arial"/>
          <w:sz w:val="21"/>
        </w:rPr>
        <w:t xml:space="preserve"> in </w:t>
      </w:r>
      <w:r>
        <w:rPr>
          <w:rFonts w:ascii="Consolas" w:hAnsi="Consolas"/>
          <w:sz w:val="19"/>
        </w:rPr>
        <w:t>05_Data_Breach_Notification_Policy.md</w:t>
      </w:r>
      <w:r>
        <w:rPr>
          <w:rFonts w:ascii="Arial" w:hAnsi="Arial"/>
          <w:sz w:val="21"/>
        </w:rPr>
        <w:t xml:space="preserve"> is set specifically to satisfy NY (7 days) and IL (30 days) simultaneously.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Items requiring counsel verification (do not rely on until confirmed)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IL SOPPA 30-day operator figure</w:t>
      </w:r>
      <w:r>
        <w:rPr>
          <w:rFonts w:ascii="Arial" w:hAnsi="Arial"/>
          <w:sz w:val="21"/>
        </w:rPr>
        <w:t xml:space="preserve"> — confirm against 105 ILCS 85/30 statutory text (came from a secondary summary).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CO</w:t>
      </w:r>
      <w:r>
        <w:rPr>
          <w:rFonts w:ascii="Arial" w:hAnsi="Arial"/>
          <w:sz w:val="21"/>
        </w:rPr>
        <w:t xml:space="preserve"> — whether a school-service provider has a hard statutory breach day-count under Art. 22-16, or only via the general §6-1-716 (30 days).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VA</w:t>
      </w:r>
      <w:r>
        <w:rPr>
          <w:rFonts w:ascii="Arial" w:hAnsi="Arial"/>
          <w:sz w:val="21"/>
        </w:rPr>
        <w:t xml:space="preserve"> — confirm exact code section (likely §22.1-289.01) and any breach timeline.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TX</w:t>
      </w:r>
      <w:r>
        <w:rPr>
          <w:rFonts w:ascii="Arial" w:hAnsi="Arial"/>
          <w:sz w:val="21"/>
        </w:rPr>
        <w:t xml:space="preserve"> — confirm current codified Education Code sections and any vendor breach timeline.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CT</w:t>
      </w:r>
      <w:r>
        <w:rPr>
          <w:rFonts w:ascii="Arial" w:hAnsi="Arial"/>
          <w:sz w:val="21"/>
        </w:rPr>
        <w:t xml:space="preserve"> — verify the ≤30-day detailed-notice figure against §10-234dd.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sz w:val="21"/>
        </w:rPr>
        <w:t>General: this matrix covers 7 states. Before entering a new state, add a row and confirm its specifics — several other states (e.g., WA, GA, LA, TN, UT) have student-privacy statutes not yet mapped here.</w:t>
      </w:r>
    </w:p>
    <w:p>
      <w:pPr>
        <w:spacing w:after="120"/>
      </w:pPr>
      <w:r>
        <w:rPr>
          <w:rFonts w:ascii="Arial" w:hAnsi="Arial"/>
          <w:sz w:val="21"/>
        </w:rPr>
        <w:t>*Sources gathered from primary statutes and state education/AG pages plus reputable legal summaries during 2026-07-21 research; full URLs retained in the research record.*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