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DPA / SDPC NDPA Readiness Brief</w:t>
      </w:r>
    </w:p>
    <w:p>
      <w:pPr>
        <w:spacing w:after="120"/>
      </w:pPr>
      <w:r>
        <w:rPr>
          <w:rFonts w:ascii="Arial" w:hAnsi="Arial"/>
          <w:b/>
          <w:sz w:val="21"/>
        </w:rPr>
        <w:t>Tracker items:</w:t>
      </w:r>
      <w:r>
        <w:rPr>
          <w:rFonts w:ascii="Arial" w:hAnsi="Arial"/>
          <w:sz w:val="21"/>
        </w:rPr>
        <w:t xml:space="preserve"> FE-02 (DPA template), FE-03 (adopt SDPC NDPA), feeds BI-10 (legal DPA exhibit)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(Cohort Logic) — </w:t>
      </w:r>
      <w:r>
        <w:rPr>
          <w:rFonts w:ascii="Arial" w:hAnsi="Arial"/>
          <w:b/>
          <w:sz w:val="21"/>
        </w:rPr>
        <w:t>legal review required before signing anything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readiness plan + prepared inputs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Claude), informed by background legal research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Districts increasingly will not sign a vendor's home-grown data agreement — they send you </w:t>
      </w:r>
      <w:r>
        <w:rPr>
          <w:rFonts w:ascii="Arial" w:hAnsi="Arial"/>
          <w:b/>
          <w:color w:val="555F6A"/>
          <w:sz w:val="20"/>
        </w:rPr>
        <w:t>theirs</w:t>
      </w:r>
      <w:r>
        <w:rPr>
          <w:rFonts w:ascii="Arial" w:hAnsi="Arial"/>
          <w:color w:val="555F6A"/>
          <w:sz w:val="20"/>
        </w:rPr>
        <w:t xml:space="preserve">, and the national standard is the </w:t>
      </w:r>
      <w:r>
        <w:rPr>
          <w:rFonts w:ascii="Arial" w:hAnsi="Arial"/>
          <w:b/>
          <w:color w:val="555F6A"/>
          <w:sz w:val="20"/>
        </w:rPr>
        <w:t>SDPC National Data Privacy Agreement (NDPA)</w:t>
      </w:r>
      <w:r>
        <w:rPr>
          <w:rFonts w:ascii="Arial" w:hAnsi="Arial"/>
          <w:color w:val="555F6A"/>
          <w:sz w:val="20"/>
        </w:rPr>
        <w:t>. Being "NDPA-ready" is the single biggest procurement-efficiency lever for selling to many districts.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What the NDPA is</w:t>
      </w:r>
    </w:p>
    <w:p>
      <w:pPr>
        <w:spacing w:after="120"/>
      </w:pPr>
      <w:r>
        <w:rPr>
          <w:rFonts w:ascii="Arial" w:hAnsi="Arial"/>
          <w:sz w:val="21"/>
        </w:rPr>
        <w:t xml:space="preserve">The </w:t>
      </w:r>
      <w:r>
        <w:rPr>
          <w:rFonts w:ascii="Arial" w:hAnsi="Arial"/>
          <w:b/>
          <w:sz w:val="21"/>
        </w:rPr>
        <w:t>National Data Privacy Agreement (NDPA)</w:t>
      </w:r>
      <w:r>
        <w:rPr>
          <w:rFonts w:ascii="Arial" w:hAnsi="Arial"/>
          <w:sz w:val="21"/>
        </w:rPr>
        <w:t xml:space="preserve"> is a model student-data-privacy contract from the </w:t>
      </w:r>
      <w:r>
        <w:rPr>
          <w:rFonts w:ascii="Arial" w:hAnsi="Arial"/>
          <w:b/>
          <w:sz w:val="21"/>
        </w:rPr>
        <w:t>Student Data Privacy Consortium (SDPC)</w:t>
      </w:r>
      <w:r>
        <w:rPr>
          <w:rFonts w:ascii="Arial" w:hAnsi="Arial"/>
          <w:sz w:val="21"/>
        </w:rPr>
        <w:t xml:space="preserve">, a program of the </w:t>
      </w:r>
      <w:r>
        <w:rPr>
          <w:rFonts w:ascii="Arial" w:hAnsi="Arial"/>
          <w:b/>
          <w:sz w:val="21"/>
        </w:rPr>
        <w:t>Access 4 Learning (A4L) Community</w:t>
      </w:r>
      <w:r>
        <w:rPr>
          <w:rFonts w:ascii="Arial" w:hAnsi="Arial"/>
          <w:sz w:val="21"/>
        </w:rPr>
        <w:t>. One common contract, signed by a district (LEA) and a provider, standardizes privacy obligations so vendors don't renegotiate from scratch with every district.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Current version: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sz w:val="21"/>
        </w:rPr>
        <w:t>NDPA v2.2 (published 2025-11-19).</w:t>
      </w:r>
      <w:r>
        <w:rPr>
          <w:rFonts w:ascii="Arial" w:hAnsi="Arial"/>
          <w:sz w:val="21"/>
        </w:rPr>
        <w:t xml:space="preserve"> Variants: Standard, Vendor-Specific, District-Modified. </w:t>
      </w:r>
      <w:r>
        <w:rPr>
          <w:rFonts w:ascii="Consolas" w:hAnsi="Consolas"/>
          <w:sz w:val="19"/>
        </w:rPr>
        <w:t>[VERIFY exact current version at signing — versions update.]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Signing a district's NDPA obligates the provider to:</w:t>
      </w:r>
      <w:r>
        <w:rPr>
          <w:rFonts w:ascii="Arial" w:hAnsi="Arial"/>
          <w:sz w:val="21"/>
        </w:rPr>
        <w:t xml:space="preserve"> use student data only to deliver the contracted services (no secondary/commercial use); no selling data; no targeted advertising with covered data; maintain the security controls declared in Exhibit F; return or destroy data on termination; notify the LEA of a breach within the contractual/statutory window; flow equivalent terms to subcontractors; and honor parent/eligible-student access rights </w:t>
      </w:r>
      <w:r>
        <w:rPr>
          <w:rFonts w:ascii="Arial" w:hAnsi="Arial"/>
          <w:b/>
          <w:sz w:val="21"/>
        </w:rPr>
        <w:t>through the LEA</w:t>
      </w:r>
      <w:r>
        <w:rPr>
          <w:rFonts w:ascii="Arial" w:hAnsi="Arial"/>
          <w:sz w:val="21"/>
        </w:rPr>
        <w:t>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NDPA structure — Standard Clauses + Exhibits</w:t>
      </w:r>
    </w:p>
    <w:p>
      <w:pPr>
        <w:spacing w:after="120"/>
      </w:pPr>
      <w:r>
        <w:rPr>
          <w:rFonts w:ascii="Arial" w:hAnsi="Arial"/>
          <w:sz w:val="21"/>
        </w:rPr>
        <w:t xml:space="preserve">The agreement is a set of </w:t>
      </w:r>
      <w:r>
        <w:rPr>
          <w:rFonts w:ascii="Arial" w:hAnsi="Arial"/>
          <w:b/>
          <w:sz w:val="21"/>
        </w:rPr>
        <w:t>Standard Clauses</w:t>
      </w:r>
      <w:r>
        <w:rPr>
          <w:rFonts w:ascii="Arial" w:hAnsi="Arial"/>
          <w:sz w:val="21"/>
        </w:rPr>
        <w:t xml:space="preserve"> (do </w:t>
      </w:r>
      <w:r>
        <w:rPr>
          <w:rFonts w:ascii="Arial" w:hAnsi="Arial"/>
          <w:b/>
          <w:sz w:val="21"/>
        </w:rPr>
        <w:t>not</w:t>
      </w:r>
      <w:r>
        <w:rPr>
          <w:rFonts w:ascii="Arial" w:hAnsi="Arial"/>
          <w:sz w:val="21"/>
        </w:rPr>
        <w:t xml:space="preserve"> redline these — redlining forces a non-Standard agreement and kills the piggyback benefit) plus lettered exhibits: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Exhibit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What we provide / do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A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Description of Services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List </w:t>
            </w:r>
            <w:r>
              <w:rPr>
                <w:rFonts w:ascii="Arial" w:hAnsi="Arial"/>
                <w:b/>
                <w:sz w:val="18"/>
              </w:rPr>
              <w:t>all</w:t>
            </w:r>
            <w:r>
              <w:rPr>
                <w:rFonts w:ascii="Arial" w:hAnsi="Arial"/>
                <w:sz w:val="18"/>
              </w:rPr>
              <w:t xml:space="preserve"> Cohort Logic products the LEA uses (Class Builder, CICO, Schedule Builder, Referral Tracking)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B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Schedule of Data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The data-elements table</w:t>
            </w:r>
            <w:r>
              <w:rPr>
                <w:rFonts w:ascii="Arial" w:hAnsi="Arial"/>
                <w:sz w:val="18"/>
              </w:rPr>
              <w:t xml:space="preserve"> — check the categories of student data we collect. Prefilled from our data map (see §4). *(This is the exhibit people mislabel "data elements / Exhibit E" — it's </w:t>
            </w:r>
            <w:r>
              <w:rPr>
                <w:rFonts w:ascii="Arial" w:hAnsi="Arial"/>
                <w:b/>
                <w:sz w:val="18"/>
              </w:rPr>
              <w:t>B</w:t>
            </w:r>
            <w:r>
              <w:rPr>
                <w:rFonts w:ascii="Arial" w:hAnsi="Arial"/>
                <w:sz w:val="18"/>
              </w:rPr>
              <w:t>.)*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Definitions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Standard defined terms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D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Directive for Disposition of Data </w:t>
            </w:r>
            <w:r>
              <w:rPr>
                <w:rFonts w:ascii="Consolas" w:hAnsi="Consolas"/>
                <w:sz w:val="16"/>
              </w:rPr>
              <w:t>[VERIFY exact title in v2.2]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Data return/destruction directive on termination — ties to our retention policy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E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General Offer of Privacy Terms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Sign this</w:t>
            </w:r>
            <w:r>
              <w:rPr>
                <w:rFonts w:ascii="Arial" w:hAnsi="Arial"/>
                <w:sz w:val="18"/>
              </w:rPr>
              <w:t xml:space="preserve"> — it lets *other* LEAs in the state/alliance adopt the same terms without renegotiating. The piggyback lever.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F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Data Security Requirements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Declare which recognized cybersecurity framework(s) we align to (target: </w:t>
            </w:r>
            <w:r>
              <w:rPr>
                <w:rFonts w:ascii="Arial" w:hAnsi="Arial"/>
                <w:b/>
                <w:sz w:val="18"/>
              </w:rPr>
              <w:t>NIST CSF</w:t>
            </w:r>
            <w:r>
              <w:rPr>
                <w:rFonts w:ascii="Arial" w:hAnsi="Arial"/>
                <w:sz w:val="18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G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Supplemental State Terms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State-specific mandatory additions (uniform across an alliance)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H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Modifications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Any non-state redlines (avoid where possible)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Becoming "NDPA-ready" — the plan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Join SDPC as a vendor member</w:t>
      </w:r>
      <w:r>
        <w:rPr>
          <w:rFonts w:ascii="Arial" w:hAnsi="Arial"/>
          <w:sz w:val="21"/>
        </w:rPr>
        <w:t xml:space="preserve"> → gets a Resource Registry profile and access to the signatory/badge program. (The SDPC Resource Registry is the public repository of signed DPAs across thousands of districts and providers.)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Prepare our standing inputs in advance</w:t>
      </w:r>
      <w:r>
        <w:rPr>
          <w:rFonts w:ascii="Arial" w:hAnsi="Arial"/>
          <w:sz w:val="21"/>
        </w:rPr>
        <w:t xml:space="preserve"> (so we can turn around any district's NDPA fast): the </w:t>
      </w:r>
      <w:r>
        <w:rPr>
          <w:rFonts w:ascii="Arial" w:hAnsi="Arial"/>
          <w:b/>
          <w:sz w:val="21"/>
        </w:rPr>
        <w:t>Exhibit A product list</w:t>
      </w:r>
      <w:r>
        <w:rPr>
          <w:rFonts w:ascii="Arial" w:hAnsi="Arial"/>
          <w:sz w:val="21"/>
        </w:rPr>
        <w:t xml:space="preserve">, the </w:t>
      </w:r>
      <w:r>
        <w:rPr>
          <w:rFonts w:ascii="Arial" w:hAnsi="Arial"/>
          <w:b/>
          <w:sz w:val="21"/>
        </w:rPr>
        <w:t>Exhibit B data-elements selection</w:t>
      </w:r>
      <w:r>
        <w:rPr>
          <w:rFonts w:ascii="Arial" w:hAnsi="Arial"/>
          <w:sz w:val="21"/>
        </w:rPr>
        <w:t xml:space="preserve"> (§4), our </w:t>
      </w:r>
      <w:r>
        <w:rPr>
          <w:rFonts w:ascii="Arial" w:hAnsi="Arial"/>
          <w:b/>
          <w:sz w:val="21"/>
        </w:rPr>
        <w:t>Exhibit F framework declaration</w:t>
      </w:r>
      <w:r>
        <w:rPr>
          <w:rFonts w:ascii="Arial" w:hAnsi="Arial"/>
          <w:sz w:val="21"/>
        </w:rPr>
        <w:t xml:space="preserve"> (NIST CSF once SE-items land), and our </w:t>
      </w:r>
      <w:r>
        <w:rPr>
          <w:rFonts w:ascii="Arial" w:hAnsi="Arial"/>
          <w:b/>
          <w:sz w:val="21"/>
        </w:rPr>
        <w:t>sub-processor list</w:t>
      </w:r>
      <w:r>
        <w:rPr>
          <w:rFonts w:ascii="Arial" w:hAnsi="Arial"/>
          <w:sz w:val="21"/>
        </w:rPr>
        <w:t xml:space="preserve"> (Supabase, Cloudflare).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When a district ("Originating LEA") sends an NDPA:</w:t>
      </w:r>
      <w:r>
        <w:rPr>
          <w:rFonts w:ascii="Arial" w:hAnsi="Arial"/>
          <w:sz w:val="21"/>
        </w:rPr>
        <w:t xml:space="preserve"> complete Exhibit A + B, confirm F, </w:t>
      </w:r>
      <w:r>
        <w:rPr>
          <w:rFonts w:ascii="Arial" w:hAnsi="Arial"/>
          <w:b/>
          <w:sz w:val="21"/>
        </w:rPr>
        <w:t>do not redline the Standard Clauses</w:t>
      </w:r>
      <w:r>
        <w:rPr>
          <w:rFonts w:ascii="Arial" w:hAnsi="Arial"/>
          <w:sz w:val="21"/>
        </w:rPr>
        <w:t xml:space="preserve">, and </w:t>
      </w:r>
      <w:r>
        <w:rPr>
          <w:rFonts w:ascii="Arial" w:hAnsi="Arial"/>
          <w:b/>
          <w:sz w:val="21"/>
        </w:rPr>
        <w:t>sign Exhibit E</w:t>
      </w:r>
      <w:r>
        <w:rPr>
          <w:rFonts w:ascii="Arial" w:hAnsi="Arial"/>
          <w:sz w:val="21"/>
        </w:rPr>
        <w:t xml:space="preserve"> (General Offer) so other LEAs can piggyback.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Upload to the Resource Registry</w:t>
      </w:r>
      <w:r>
        <w:rPr>
          <w:rFonts w:ascii="Arial" w:hAnsi="Arial"/>
          <w:sz w:val="21"/>
        </w:rPr>
        <w:t xml:space="preserve"> (usually the LEA does this) so future districts can find and reuse our signed terms.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State alliances</w:t>
      </w:r>
      <w:r>
        <w:rPr>
          <w:rFonts w:ascii="Arial" w:hAnsi="Arial"/>
          <w:sz w:val="21"/>
        </w:rPr>
        <w:t xml:space="preserve"> (IL, NY, CA/CSDPA, MO, etc.) sit under the national SDPC umbrella — a signed alliance agreement is reusable in-state via Exhibit E.</w:t>
      </w:r>
    </w:p>
    <w:p>
      <w:pPr>
        <w:spacing w:after="120"/>
      </w:pPr>
      <w:r>
        <w:rPr>
          <w:rFonts w:ascii="Arial" w:hAnsi="Arial"/>
          <w:b/>
          <w:sz w:val="21"/>
        </w:rPr>
        <w:t>Legal note:</w:t>
      </w:r>
      <w:r>
        <w:rPr>
          <w:rFonts w:ascii="Arial" w:hAnsi="Arial"/>
          <w:sz w:val="21"/>
        </w:rPr>
        <w:t xml:space="preserve"> we still want our </w:t>
      </w:r>
      <w:r>
        <w:rPr>
          <w:rFonts w:ascii="Arial" w:hAnsi="Arial"/>
          <w:b/>
          <w:sz w:val="21"/>
        </w:rPr>
        <w:t>own</w:t>
      </w:r>
      <w:r>
        <w:rPr>
          <w:rFonts w:ascii="Arial" w:hAnsi="Arial"/>
          <w:sz w:val="21"/>
        </w:rPr>
        <w:t xml:space="preserve"> attorney-reviewed DPA/MSA (BI-09/10) for districts that *don't* use the NDPA, kept substantively consistent with the NDPA so we're not maintaining two conflicting privacy postures.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Prepared input — Exhibit B "Schedule of Data" (from our data map)</w:t>
      </w:r>
    </w:p>
    <w:p>
      <w:pPr>
        <w:spacing w:after="120"/>
      </w:pPr>
      <w:r>
        <w:rPr>
          <w:rFonts w:ascii="Arial" w:hAnsi="Arial"/>
          <w:sz w:val="21"/>
        </w:rPr>
        <w:t xml:space="preserve">This is the data-elements selection a district's NDPA Exhibit B asks us to check, derived from </w:t>
      </w:r>
      <w:r>
        <w:rPr>
          <w:rFonts w:ascii="Consolas" w:hAnsi="Consolas"/>
          <w:sz w:val="19"/>
        </w:rPr>
        <w:t>01_Data_Inventory_and_Data_Map.md</w:t>
      </w:r>
      <w:r>
        <w:rPr>
          <w:rFonts w:ascii="Arial" w:hAnsi="Arial"/>
          <w:sz w:val="21"/>
        </w:rPr>
        <w:t xml:space="preserve">. </w:t>
      </w:r>
      <w:r>
        <w:rPr>
          <w:rFonts w:ascii="Arial" w:hAnsi="Arial"/>
          <w:b/>
          <w:sz w:val="21"/>
        </w:rPr>
        <w:t>Confirm before signing.</w:t>
      </w:r>
    </w:p>
    <w:p>
      <w:pPr>
        <w:spacing w:after="120"/>
      </w:pPr>
      <w:r>
        <w:rPr>
          <w:rFonts w:ascii="Arial" w:hAnsi="Arial"/>
          <w:b/>
          <w:sz w:val="21"/>
        </w:rPr>
        <w:t>Student data we DO collect (CICO + Referrals):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Name (first/last), grade level, homeroom/teacher, school-assigned student ID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Demographics: race/ethnicity, gender, IEP/special-indicator status *(equity reporting only)*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Behavior data: daily check-in/check-out scores, behavior incidents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Discipline data: office-discipline referrals (location, behavior, motivation, action, notes, custom fields)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Audit metadata that may embed the above (</w:t>
      </w:r>
      <w:r>
        <w:rPr>
          <w:rFonts w:ascii="Consolas" w:hAnsi="Consolas"/>
          <w:sz w:val="19"/>
        </w:rPr>
        <w:t>audit_log</w:t>
      </w:r>
      <w:r>
        <w:rPr>
          <w:rFonts w:ascii="Arial" w:hAnsi="Arial"/>
          <w:sz w:val="21"/>
        </w:rPr>
        <w:t>)</w:t>
      </w:r>
    </w:p>
    <w:p>
      <w:pPr>
        <w:spacing w:after="120"/>
      </w:pPr>
      <w:r>
        <w:rPr>
          <w:rFonts w:ascii="Arial" w:hAnsi="Arial"/>
          <w:b/>
          <w:sz w:val="21"/>
        </w:rPr>
        <w:t>Student data we DO NOT collect / store server-side: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No SSN, no biometric data, no health records beyond the IEP flag, no financial data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No Class Builder rosters</w:t>
      </w:r>
      <w:r>
        <w:rPr>
          <w:rFonts w:ascii="Arial" w:hAnsi="Arial"/>
          <w:sz w:val="21"/>
        </w:rPr>
        <w:t xml:space="preserve"> (processed in-browser, never stored server-side)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No Schedule Builder student data</w:t>
      </w:r>
      <w:r>
        <w:rPr>
          <w:rFonts w:ascii="Arial" w:hAnsi="Arial"/>
          <w:sz w:val="21"/>
        </w:rPr>
        <w:t xml:space="preserve"> (file-based, never stored server-side)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No student contact info (email/phone/address), no geolocation</w:t>
      </w:r>
    </w:p>
    <w:p>
      <w:pPr>
        <w:spacing w:after="120"/>
      </w:pPr>
      <w:r>
        <w:rPr>
          <w:rFonts w:ascii="Arial" w:hAnsi="Arial"/>
          <w:b/>
          <w:sz w:val="21"/>
        </w:rPr>
        <w:t>Sub-processors:</w:t>
      </w:r>
      <w:r>
        <w:rPr>
          <w:rFonts w:ascii="Arial" w:hAnsi="Arial"/>
          <w:sz w:val="21"/>
        </w:rPr>
        <w:t xml:space="preserve"> Supabase (managed Postgres on AWS), Cloudflare (edge/CDN). US region </w:t>
      </w:r>
      <w:r>
        <w:rPr>
          <w:rFonts w:ascii="Consolas" w:hAnsi="Consolas"/>
          <w:sz w:val="19"/>
        </w:rPr>
        <w:t>[CONFIRM — FE-06]</w:t>
      </w:r>
      <w:r>
        <w:rPr>
          <w:rFonts w:ascii="Arial" w:hAnsi="Arial"/>
          <w:sz w:val="21"/>
        </w:rPr>
        <w:t>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Sequencing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 xml:space="preserve">Have counsel review this brief + the FERPA posture memo (FE-01) and produce the </w:t>
      </w:r>
      <w:r>
        <w:rPr>
          <w:rFonts w:ascii="Arial" w:hAnsi="Arial"/>
          <w:b/>
          <w:sz w:val="21"/>
        </w:rPr>
        <w:t>own-paper DPA/MSA</w:t>
      </w:r>
      <w:r>
        <w:rPr>
          <w:rFonts w:ascii="Arial" w:hAnsi="Arial"/>
          <w:sz w:val="21"/>
        </w:rPr>
        <w:t xml:space="preserve"> (BI-08/09/10).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>Join SDPC; stand up the Registry profile.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>Finalize Exhibit B selection (§4) and the NIST-CSF alignment claim for Exhibit F (depends on the SE security items).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sz w:val="21"/>
        </w:rPr>
        <w:t>Sign Exhibit E on the first district NDPA to unlock piggyback reach.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6. Verify with counsel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Confirm current </w:t>
      </w:r>
      <w:r>
        <w:rPr>
          <w:rFonts w:ascii="Arial" w:hAnsi="Arial"/>
          <w:b/>
          <w:sz w:val="21"/>
        </w:rPr>
        <w:t>NDPA version</w:t>
      </w:r>
      <w:r>
        <w:rPr>
          <w:rFonts w:ascii="Arial" w:hAnsi="Arial"/>
          <w:sz w:val="21"/>
        </w:rPr>
        <w:t xml:space="preserve"> and the exact </w:t>
      </w:r>
      <w:r>
        <w:rPr>
          <w:rFonts w:ascii="Arial" w:hAnsi="Arial"/>
          <w:b/>
          <w:sz w:val="21"/>
        </w:rPr>
        <w:t>Exhibit D</w:t>
      </w:r>
      <w:r>
        <w:rPr>
          <w:rFonts w:ascii="Arial" w:hAnsi="Arial"/>
          <w:sz w:val="21"/>
        </w:rPr>
        <w:t xml:space="preserve"> title/contents at signing.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Confirm our </w:t>
      </w:r>
      <w:r>
        <w:rPr>
          <w:rFonts w:ascii="Arial" w:hAnsi="Arial"/>
          <w:b/>
          <w:sz w:val="21"/>
        </w:rPr>
        <w:t>Exhibit B</w:t>
      </w:r>
      <w:r>
        <w:rPr>
          <w:rFonts w:ascii="Arial" w:hAnsi="Arial"/>
          <w:sz w:val="21"/>
        </w:rPr>
        <w:t xml:space="preserve"> selections and </w:t>
      </w:r>
      <w:r>
        <w:rPr>
          <w:rFonts w:ascii="Arial" w:hAnsi="Arial"/>
          <w:b/>
          <w:sz w:val="21"/>
        </w:rPr>
        <w:t>Exhibit F</w:t>
      </w:r>
      <w:r>
        <w:rPr>
          <w:rFonts w:ascii="Arial" w:hAnsi="Arial"/>
          <w:sz w:val="21"/>
        </w:rPr>
        <w:t xml:space="preserve"> framework claim are accurate and defensible.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Confirm consistency between the NDPA obligations and our own-paper DPA/MSA so we never present two different privacy commitments.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