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pBdr>
          <w:bottom w:val="single" w:sz="12" w:space="4" w:color="2A9D8F"/>
        </w:pBdr>
      </w:pPr>
      <w:r>
        <w:rPr>
          <w:rFonts w:ascii="Arial" w:hAnsi="Arial"/>
          <w:b/>
          <w:color w:val="1E3A5F"/>
          <w:sz w:val="34"/>
        </w:rPr>
        <w:t>Cohort Logic — Terms of Service (PRODUCTION DRAFT)</w:t>
      </w:r>
    </w:p>
    <w:p>
      <w:pPr>
        <w:spacing w:after="120"/>
      </w:pPr>
      <w:r>
        <w:rPr>
          <w:rFonts w:ascii="Arial" w:hAnsi="Arial"/>
          <w:b/>
          <w:sz w:val="21"/>
        </w:rPr>
        <w:t>Tracker item:</w:t>
      </w:r>
      <w:r>
        <w:rPr>
          <w:rFonts w:ascii="Arial" w:hAnsi="Arial"/>
          <w:sz w:val="21"/>
        </w:rPr>
        <w:t xml:space="preserve"> BI-08</w:t>
      </w:r>
    </w:p>
    <w:p>
      <w:pPr>
        <w:spacing w:after="120"/>
      </w:pPr>
      <w:r>
        <w:rPr>
          <w:rFonts w:ascii="Arial" w:hAnsi="Arial"/>
          <w:b/>
          <w:sz w:val="21"/>
        </w:rPr>
        <w:t>Status:</w:t>
      </w:r>
      <w:r>
        <w:rPr>
          <w:rFonts w:ascii="Arial" w:hAnsi="Arial"/>
          <w:sz w:val="21"/>
        </w:rPr>
        <w:t xml:space="preserve"> DRAFT skeleton for attorney review — replaces the beta agreement; then ported to a live </w:t>
      </w:r>
      <w:r>
        <w:rPr>
          <w:rFonts w:ascii="Consolas" w:hAnsi="Consolas"/>
          <w:sz w:val="19"/>
        </w:rPr>
        <w:t>terms.html</w:t>
      </w:r>
      <w:r>
        <w:rPr>
          <w:rFonts w:ascii="Arial" w:hAnsi="Arial"/>
          <w:sz w:val="21"/>
        </w:rPr>
        <w:t xml:space="preserve"> (later website batch)</w:t>
      </w:r>
    </w:p>
    <w:p>
      <w:pPr>
        <w:spacing w:after="120"/>
      </w:pPr>
      <w:r>
        <w:rPr>
          <w:rFonts w:ascii="Arial" w:hAnsi="Arial"/>
          <w:b/>
          <w:sz w:val="21"/>
        </w:rPr>
        <w:t>Owner:</w:t>
      </w:r>
      <w:r>
        <w:rPr>
          <w:rFonts w:ascii="Arial" w:hAnsi="Arial"/>
          <w:sz w:val="21"/>
        </w:rPr>
        <w:t xml:space="preserve"> Michael Fletcher — </w:t>
      </w:r>
      <w:r>
        <w:rPr>
          <w:rFonts w:ascii="Arial" w:hAnsi="Arial"/>
          <w:b/>
          <w:sz w:val="21"/>
        </w:rPr>
        <w:t>requires attorney review; this is a starting point, not final legal text</w:t>
      </w:r>
    </w:p>
    <w:p>
      <w:pPr>
        <w:spacing w:after="120"/>
      </w:pPr>
      <w:r>
        <w:rPr>
          <w:rFonts w:ascii="Arial" w:hAnsi="Arial"/>
          <w:b/>
          <w:sz w:val="21"/>
        </w:rPr>
        <w:t>Last updated:</w:t>
      </w:r>
      <w:r>
        <w:rPr>
          <w:rFonts w:ascii="Arial" w:hAnsi="Arial"/>
          <w:sz w:val="21"/>
        </w:rPr>
        <w:t xml:space="preserve"> 2026-07-21 (by Claude)</w:t>
      </w:r>
    </w:p>
    <w:p>
      <w:pPr>
        <w:spacing w:before="80" w:after="120"/>
        <w:ind w:left="288"/>
        <w:pBdr>
          <w:left w:val="single" w:sz="18" w:space="8" w:color="2A9D8F"/>
        </w:pBdr>
      </w:pPr>
      <w:r>
        <w:rPr>
          <w:rFonts w:ascii="Arial" w:hAnsi="Arial"/>
          <w:color w:val="555F6A"/>
          <w:sz w:val="20"/>
        </w:rPr>
        <w:t xml:space="preserve">Your live "terms" today is a </w:t>
      </w:r>
      <w:r>
        <w:rPr>
          <w:rFonts w:ascii="Arial" w:hAnsi="Arial"/>
          <w:b/>
          <w:color w:val="555F6A"/>
          <w:sz w:val="20"/>
        </w:rPr>
        <w:t>Beta Agreement</w:t>
      </w:r>
      <w:r>
        <w:rPr>
          <w:rFonts w:ascii="Arial" w:hAnsi="Arial"/>
          <w:color w:val="555F6A"/>
          <w:sz w:val="20"/>
        </w:rPr>
        <w:t xml:space="preserve"> that instructs users </w:t>
      </w:r>
      <w:r>
        <w:rPr>
          <w:rFonts w:ascii="Arial" w:hAnsi="Arial"/>
          <w:b/>
          <w:color w:val="555F6A"/>
          <w:sz w:val="20"/>
        </w:rPr>
        <w:t>not to enter real student data</w:t>
      </w:r>
      <w:r>
        <w:rPr>
          <w:rFonts w:ascii="Arial" w:hAnsi="Arial"/>
          <w:color w:val="555F6A"/>
          <w:sz w:val="20"/>
        </w:rPr>
        <w:t xml:space="preserve"> ("Use test or anonymized data only"). Going production reverses that: real student data is permitted </w:t>
      </w:r>
      <w:r>
        <w:rPr>
          <w:rFonts w:ascii="Arial" w:hAnsi="Arial"/>
          <w:b/>
          <w:color w:val="555F6A"/>
          <w:sz w:val="20"/>
        </w:rPr>
        <w:t>under contract</w:t>
      </w:r>
      <w:r>
        <w:rPr>
          <w:rFonts w:ascii="Arial" w:hAnsi="Arial"/>
          <w:color w:val="555F6A"/>
          <w:sz w:val="20"/>
        </w:rPr>
        <w:t xml:space="preserve">. This draft is the production ToS skeleton. For paid district relationships, the controlling contract is usually the </w:t>
      </w:r>
      <w:r>
        <w:rPr>
          <w:rFonts w:ascii="Arial" w:hAnsi="Arial"/>
          <w:b/>
          <w:color w:val="555F6A"/>
          <w:sz w:val="20"/>
        </w:rPr>
        <w:t>MSA (`10_...`)</w:t>
      </w:r>
      <w:r>
        <w:rPr>
          <w:rFonts w:ascii="Arial" w:hAnsi="Arial"/>
          <w:color w:val="555F6A"/>
          <w:sz w:val="20"/>
        </w:rPr>
        <w:t>; these ToS govern self-serve/website signups and incorporate the DPA and Privacy Policy by reference.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7"/>
        </w:rPr>
        <w:t>Terms of Service</w:t>
      </w:r>
    </w:p>
    <w:p>
      <w:pPr>
        <w:spacing w:after="120"/>
      </w:pPr>
      <w:r>
        <w:rPr>
          <w:rFonts w:ascii="Arial" w:hAnsi="Arial"/>
          <w:b/>
          <w:sz w:val="21"/>
        </w:rPr>
        <w:t>Effective:</w:t>
      </w:r>
      <w:r>
        <w:rPr>
          <w:rFonts w:ascii="Arial" w:hAnsi="Arial"/>
          <w:sz w:val="21"/>
        </w:rPr>
        <w:t xml:space="preserve"> [DATE] · </w:t>
      </w:r>
      <w:r>
        <w:rPr>
          <w:rFonts w:ascii="Arial" w:hAnsi="Arial"/>
          <w:b/>
          <w:sz w:val="21"/>
        </w:rPr>
        <w:t>Version:</w:t>
      </w:r>
      <w:r>
        <w:rPr>
          <w:rFonts w:ascii="Arial" w:hAnsi="Arial"/>
          <w:sz w:val="21"/>
        </w:rPr>
        <w:t xml:space="preserve"> 1.0</w:t>
      </w:r>
    </w:p>
    <w:p>
      <w:pPr>
        <w:spacing w:after="120"/>
      </w:pPr>
      <w:r>
        <w:rPr>
          <w:rFonts w:ascii="Arial" w:hAnsi="Arial"/>
          <w:b/>
          <w:sz w:val="21"/>
        </w:rPr>
        <w:t>1. Agreement.</w:t>
      </w:r>
      <w:r>
        <w:rPr>
          <w:rFonts w:ascii="Arial" w:hAnsi="Arial"/>
          <w:sz w:val="21"/>
        </w:rPr>
        <w:t xml:space="preserve"> By creating an account or using Cohort Logic ("Service"), you agree to these Terms. If you accept on behalf of a school or district ("Customer"), you represent you are authorized to bind it.</w:t>
      </w:r>
    </w:p>
    <w:p>
      <w:pPr>
        <w:spacing w:after="120"/>
      </w:pPr>
      <w:r>
        <w:rPr>
          <w:rFonts w:ascii="Arial" w:hAnsi="Arial"/>
          <w:b/>
          <w:sz w:val="21"/>
        </w:rPr>
        <w:t>2. The Service.</w:t>
      </w:r>
      <w:r>
        <w:rPr>
          <w:rFonts w:ascii="Arial" w:hAnsi="Arial"/>
          <w:sz w:val="21"/>
        </w:rPr>
        <w:t xml:space="preserve"> Cohort Logic provides web-based administrative tools for K-12 schools (Class Builder, Check-in/Check-out, Schedule Builder, Referral Tracking, and future products). Class Builder and Schedule Builder process data in the browser and do not store student data on our servers; CICO and Referral Tracking store data as described in the Privacy Policy.</w:t>
      </w:r>
    </w:p>
    <w:p>
      <w:pPr>
        <w:spacing w:after="120"/>
      </w:pPr>
      <w:r>
        <w:rPr>
          <w:rFonts w:ascii="Arial" w:hAnsi="Arial"/>
          <w:b/>
          <w:sz w:val="21"/>
        </w:rPr>
        <w:t>3. Accounts and eligibility.</w:t>
      </w:r>
      <w:r>
        <w:rPr>
          <w:rFonts w:ascii="Arial" w:hAnsi="Arial"/>
          <w:sz w:val="21"/>
        </w:rPr>
        <w:t xml:space="preserve"> The Service is for school staff and administrators. You must provide accurate information, keep credentials secure, enable multi-factor authentication where offered, and are responsible for activity under your account. New accounts require administrator approval.</w:t>
      </w:r>
    </w:p>
    <w:p>
      <w:pPr>
        <w:spacing w:after="120"/>
      </w:pPr>
      <w:r>
        <w:rPr>
          <w:rFonts w:ascii="Arial" w:hAnsi="Arial"/>
          <w:b/>
          <w:sz w:val="21"/>
        </w:rPr>
        <w:t>4. Customer responsibilities and authority to share data.</w:t>
      </w:r>
      <w:r>
        <w:rPr>
          <w:rFonts w:ascii="Arial" w:hAnsi="Arial"/>
          <w:sz w:val="21"/>
        </w:rPr>
        <w:t xml:space="preserve"> Customer represents that it has the authority (as the FERPA-responsible party) to provide any student data it enters, that entry is consistent with FERPA/COPPA/applicable state law and the school's own notices, and that Customer is responsible for the accuracy of rosters and records it enters.</w:t>
      </w:r>
    </w:p>
    <w:p>
      <w:pPr>
        <w:spacing w:after="120"/>
      </w:pPr>
      <w:r>
        <w:rPr>
          <w:rFonts w:ascii="Arial" w:hAnsi="Arial"/>
          <w:b/>
          <w:sz w:val="21"/>
        </w:rPr>
        <w:t>5. Acceptable use.</w:t>
      </w:r>
      <w:r>
        <w:rPr>
          <w:rFonts w:ascii="Arial" w:hAnsi="Arial"/>
          <w:sz w:val="21"/>
        </w:rPr>
        <w:t xml:space="preserve"> You will comply with the Acceptable Use Policy (</w:t>
      </w:r>
      <w:r>
        <w:rPr>
          <w:rFonts w:ascii="Consolas" w:hAnsi="Consolas"/>
          <w:sz w:val="19"/>
        </w:rPr>
        <w:t>11_...</w:t>
      </w:r>
      <w:r>
        <w:rPr>
          <w:rFonts w:ascii="Arial" w:hAnsi="Arial"/>
          <w:sz w:val="21"/>
        </w:rPr>
        <w:t>): no unlawful use, no attempting to access other schools' data, no security circumvention, no uploading malware, no reselling the Service, and no entering data you are not authorized to provide.</w:t>
      </w:r>
    </w:p>
    <w:p>
      <w:pPr>
        <w:spacing w:after="120"/>
      </w:pPr>
      <w:r>
        <w:rPr>
          <w:rFonts w:ascii="Arial" w:hAnsi="Arial"/>
          <w:b/>
          <w:sz w:val="21"/>
        </w:rPr>
        <w:t>6. Data protection and privacy.</w:t>
      </w:r>
      <w:r>
        <w:rPr>
          <w:rFonts w:ascii="Arial" w:hAnsi="Arial"/>
          <w:sz w:val="21"/>
        </w:rPr>
        <w:t xml:space="preserve"> Our handling of personal and student data is governed by the </w:t>
      </w:r>
      <w:r>
        <w:rPr>
          <w:rFonts w:ascii="Arial" w:hAnsi="Arial"/>
          <w:b/>
          <w:sz w:val="21"/>
        </w:rPr>
        <w:t>Privacy Policy</w:t>
      </w:r>
      <w:r>
        <w:rPr>
          <w:rFonts w:ascii="Arial" w:hAnsi="Arial"/>
          <w:sz w:val="21"/>
        </w:rPr>
        <w:t xml:space="preserve"> and, where signed, a </w:t>
      </w:r>
      <w:r>
        <w:rPr>
          <w:rFonts w:ascii="Arial" w:hAnsi="Arial"/>
          <w:b/>
          <w:sz w:val="21"/>
        </w:rPr>
        <w:t>Data Processing Agreement / SDPC NDPA</w:t>
      </w:r>
      <w:r>
        <w:rPr>
          <w:rFonts w:ascii="Arial" w:hAnsi="Arial"/>
          <w:sz w:val="21"/>
        </w:rPr>
        <w:t>, each incorporated by reference. In a conflict for student data, the signed DPA/NDPA controls.</w:t>
      </w:r>
    </w:p>
    <w:p>
      <w:pPr>
        <w:spacing w:after="120"/>
      </w:pPr>
      <w:r>
        <w:rPr>
          <w:rFonts w:ascii="Arial" w:hAnsi="Arial"/>
          <w:b/>
          <w:sz w:val="21"/>
        </w:rPr>
        <w:t>7. Fees and subscriptions.</w:t>
      </w:r>
      <w:r>
        <w:rPr>
          <w:rFonts w:ascii="Arial" w:hAnsi="Arial"/>
          <w:sz w:val="21"/>
        </w:rPr>
        <w:t xml:space="preserve"> [Free through the stated beta/launch window.] Paid plans, billing terms, renewal, and taxes are set out in the applicable order or the MSA. [Reconcile with pricing.html + Stripe when billing goes live — PR-01/09.]</w:t>
      </w:r>
    </w:p>
    <w:p>
      <w:pPr>
        <w:spacing w:after="120"/>
      </w:pPr>
      <w:r>
        <w:rPr>
          <w:rFonts w:ascii="Arial" w:hAnsi="Arial"/>
          <w:b/>
          <w:sz w:val="21"/>
        </w:rPr>
        <w:t>8. Term, suspension, termination.</w:t>
      </w:r>
      <w:r>
        <w:rPr>
          <w:rFonts w:ascii="Arial" w:hAnsi="Arial"/>
          <w:sz w:val="21"/>
        </w:rPr>
        <w:t xml:space="preserve"> Either party may terminate per the order/MSA or, for self-serve accounts, at any time. We may suspend for non-payment, security risk, or AUP violation. On termination, Section 9 governs data.</w:t>
      </w:r>
    </w:p>
    <w:p>
      <w:pPr>
        <w:spacing w:after="120"/>
      </w:pPr>
      <w:r>
        <w:rPr>
          <w:rFonts w:ascii="Arial" w:hAnsi="Arial"/>
          <w:b/>
          <w:sz w:val="21"/>
        </w:rPr>
        <w:t>9. Data return and deletion.</w:t>
      </w:r>
      <w:r>
        <w:rPr>
          <w:rFonts w:ascii="Arial" w:hAnsi="Arial"/>
          <w:sz w:val="21"/>
        </w:rPr>
        <w:t xml:space="preserve"> On termination, Customer may export its data, and we will delete it per the Privacy Policy retention schedule (deletion within 30 days of request; backups aged out within 90 days).</w:t>
      </w:r>
    </w:p>
    <w:p>
      <w:pPr>
        <w:spacing w:after="120"/>
      </w:pPr>
      <w:r>
        <w:rPr>
          <w:rFonts w:ascii="Arial" w:hAnsi="Arial"/>
          <w:b/>
          <w:sz w:val="21"/>
        </w:rPr>
        <w:t>10. Intellectual property.</w:t>
      </w:r>
      <w:r>
        <w:rPr>
          <w:rFonts w:ascii="Arial" w:hAnsi="Arial"/>
          <w:sz w:val="21"/>
        </w:rPr>
        <w:t xml:space="preserve"> We own the Service and its software; Customer owns its data. Customer grants us a limited license to process its data solely to provide the Service.</w:t>
      </w:r>
    </w:p>
    <w:p>
      <w:pPr>
        <w:spacing w:after="120"/>
      </w:pPr>
      <w:r>
        <w:rPr>
          <w:rFonts w:ascii="Arial" w:hAnsi="Arial"/>
          <w:b/>
          <w:sz w:val="21"/>
        </w:rPr>
        <w:t>11. Warranties and disclaimers.</w:t>
      </w:r>
      <w:r>
        <w:rPr>
          <w:rFonts w:ascii="Arial" w:hAnsi="Arial"/>
          <w:sz w:val="21"/>
        </w:rPr>
        <w:t xml:space="preserve"> [Beta/early-stage disclaimer as applicable.] Except as expressly stated, the Service is provided "as is." [Attorney to tailor the production warranty posture.]</w:t>
      </w:r>
    </w:p>
    <w:p>
      <w:pPr>
        <w:spacing w:after="120"/>
      </w:pPr>
      <w:r>
        <w:rPr>
          <w:rFonts w:ascii="Arial" w:hAnsi="Arial"/>
          <w:b/>
          <w:sz w:val="21"/>
        </w:rPr>
        <w:t>12. Limitation of liability.</w:t>
      </w:r>
      <w:r>
        <w:rPr>
          <w:rFonts w:ascii="Arial" w:hAnsi="Arial"/>
          <w:sz w:val="21"/>
        </w:rPr>
        <w:t xml:space="preserve"> [Cap and exclusion of indirect/consequential damages — attorney to set, coordinated with the insurance limits in BI-04/05.]</w:t>
      </w:r>
    </w:p>
    <w:p>
      <w:pPr>
        <w:spacing w:after="120"/>
      </w:pPr>
      <w:r>
        <w:rPr>
          <w:rFonts w:ascii="Arial" w:hAnsi="Arial"/>
          <w:b/>
          <w:sz w:val="21"/>
        </w:rPr>
        <w:t>13. Indemnification.</w:t>
      </w:r>
      <w:r>
        <w:rPr>
          <w:rFonts w:ascii="Arial" w:hAnsi="Arial"/>
          <w:sz w:val="21"/>
        </w:rPr>
        <w:t xml:space="preserve"> [Mutual/one-way indemnity — attorney to draft, esp. re: Customer's authority to share data and our data-security obligations.]</w:t>
      </w:r>
    </w:p>
    <w:p>
      <w:pPr>
        <w:spacing w:after="120"/>
      </w:pPr>
      <w:r>
        <w:rPr>
          <w:rFonts w:ascii="Arial" w:hAnsi="Arial"/>
          <w:b/>
          <w:sz w:val="21"/>
        </w:rPr>
        <w:t>14. Governing law and disputes.</w:t>
      </w:r>
      <w:r>
        <w:rPr>
          <w:rFonts w:ascii="Arial" w:hAnsi="Arial"/>
          <w:sz w:val="21"/>
        </w:rPr>
        <w:t xml:space="preserve"> [State of Oregon or as advised] — attorney to set venue/arbitration.</w:t>
      </w:r>
    </w:p>
    <w:p>
      <w:pPr>
        <w:spacing w:after="120"/>
      </w:pPr>
      <w:r>
        <w:rPr>
          <w:rFonts w:ascii="Arial" w:hAnsi="Arial"/>
          <w:b/>
          <w:sz w:val="21"/>
        </w:rPr>
        <w:t>15. Changes.</w:t>
      </w:r>
      <w:r>
        <w:rPr>
          <w:rFonts w:ascii="Arial" w:hAnsi="Arial"/>
          <w:sz w:val="21"/>
        </w:rPr>
        <w:t xml:space="preserve"> We may update these Terms; material changes will be communicated, and continued use constitutes acceptance.</w:t>
      </w:r>
    </w:p>
    <w:p>
      <w:pPr>
        <w:spacing w:after="120"/>
      </w:pPr>
      <w:r>
        <w:rPr>
          <w:rFonts w:ascii="Arial" w:hAnsi="Arial"/>
          <w:b/>
          <w:sz w:val="21"/>
        </w:rPr>
        <w:t>16. Contact.</w:t>
      </w:r>
      <w:r>
        <w:rPr>
          <w:rFonts w:ascii="Arial" w:hAnsi="Arial"/>
          <w:sz w:val="21"/>
        </w:rPr>
        <w:t xml:space="preserve"> [legal@cohortlogic.com / hello@cohortlogic.com]</w:t>
      </w:r>
    </w:p>
    <w:p>
      <w:pPr>
        <w:spacing w:before="160" w:after="60"/>
      </w:pPr>
      <w:r>
        <w:rPr>
          <w:rFonts w:ascii="Arial" w:hAnsi="Arial"/>
          <w:b/>
          <w:color w:val="2A9D8F"/>
          <w:sz w:val="23"/>
        </w:rPr>
        <w:t>Reviewer notes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 xml:space="preserve">The biggest substantive change from beta: real student data is now permitted </w:t>
      </w:r>
      <w:r>
        <w:rPr>
          <w:rFonts w:ascii="Arial" w:hAnsi="Arial"/>
          <w:b/>
          <w:sz w:val="21"/>
        </w:rPr>
        <w:t>under the DPA/FERPA framework</w:t>
      </w:r>
      <w:r>
        <w:rPr>
          <w:rFonts w:ascii="Arial" w:hAnsi="Arial"/>
          <w:sz w:val="21"/>
        </w:rPr>
        <w:t xml:space="preserve"> — Sections 4, 6, 9 carry that weight and need counsel's eye.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Bracketed sections (7, 11, 12, 13, 14) are genuine legal/business decisions, not drafting gaps — flag for the attorney and coordinate liability caps with your insurance limits.</w:t>
      </w:r>
    </w:p>
    <w:p>
      <w:pPr>
        <w:spacing w:after="40"/>
        <w:ind w:left="403"/>
      </w:pPr>
      <w:r>
        <w:rPr>
          <w:rFonts w:ascii="Arial" w:hAnsi="Arial"/>
          <w:b/>
          <w:color w:val="2A9D8F"/>
          <w:sz w:val="21"/>
        </w:rPr>
        <w:t xml:space="preserve">•  </w:t>
      </w:r>
      <w:r>
        <w:rPr>
          <w:rFonts w:ascii="Arial" w:hAnsi="Arial"/>
          <w:sz w:val="21"/>
        </w:rPr>
        <w:t>Keep consistent with the MSA (</w:t>
      </w:r>
      <w:r>
        <w:rPr>
          <w:rFonts w:ascii="Consolas" w:hAnsi="Consolas"/>
          <w:sz w:val="19"/>
        </w:rPr>
        <w:t>10_...</w:t>
      </w:r>
      <w:r>
        <w:rPr>
          <w:rFonts w:ascii="Arial" w:hAnsi="Arial"/>
          <w:sz w:val="21"/>
        </w:rPr>
        <w:t>) so self-serve and contracted customers aren't governed by conflicting terms.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