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Master Services Agreement (SKELETON)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BI-09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SKELETON for attorney drafting — </w:t>
      </w:r>
      <w:r>
        <w:rPr>
          <w:rFonts w:ascii="Arial" w:hAnsi="Arial"/>
          <w:b/>
          <w:sz w:val="21"/>
        </w:rPr>
        <w:t>a contract document, NOT a website page.</w:t>
      </w:r>
      <w:r>
        <w:rPr>
          <w:rFonts w:ascii="Arial" w:hAnsi="Arial"/>
          <w:sz w:val="21"/>
        </w:rPr>
        <w:t xml:space="preserve"> You send/sign this with each district (email or e-signature), typically with the DPA/NDPA attached as an exhibit.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 — </w:t>
      </w:r>
      <w:r>
        <w:rPr>
          <w:rFonts w:ascii="Arial" w:hAnsi="Arial"/>
          <w:b/>
          <w:sz w:val="21"/>
        </w:rPr>
        <w:t>must be drafted/finalized by an attorney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This is a section-by-section outline so your attorney starts from your actual product/data reality, not a blank page. It is deliberately not full legal prose. The MSA is the commercial contract; the </w:t>
      </w:r>
      <w:r>
        <w:rPr>
          <w:rFonts w:ascii="Arial" w:hAnsi="Arial"/>
          <w:b/>
          <w:color w:val="555F6A"/>
          <w:sz w:val="20"/>
        </w:rPr>
        <w:t>DPA/NDPA (`07_...`)</w:t>
      </w:r>
      <w:r>
        <w:rPr>
          <w:rFonts w:ascii="Arial" w:hAnsi="Arial"/>
          <w:color w:val="555F6A"/>
          <w:sz w:val="20"/>
        </w:rPr>
        <w:t xml:space="preserve"> governs data and attaches as an exhibit; the </w:t>
      </w:r>
      <w:r>
        <w:rPr>
          <w:rFonts w:ascii="Arial" w:hAnsi="Arial"/>
          <w:b/>
          <w:color w:val="555F6A"/>
          <w:sz w:val="20"/>
        </w:rPr>
        <w:t>Privacy Policy (`08_...`)</w:t>
      </w:r>
      <w:r>
        <w:rPr>
          <w:rFonts w:ascii="Arial" w:hAnsi="Arial"/>
          <w:color w:val="555F6A"/>
          <w:sz w:val="20"/>
        </w:rPr>
        <w:t xml:space="preserve"> and </w:t>
      </w:r>
      <w:r>
        <w:rPr>
          <w:rFonts w:ascii="Arial" w:hAnsi="Arial"/>
          <w:b/>
          <w:color w:val="555F6A"/>
          <w:sz w:val="20"/>
        </w:rPr>
        <w:t>AUP (`11_...`)</w:t>
      </w:r>
      <w:r>
        <w:rPr>
          <w:rFonts w:ascii="Arial" w:hAnsi="Arial"/>
          <w:color w:val="555F6A"/>
          <w:sz w:val="20"/>
        </w:rPr>
        <w:t xml:space="preserve"> are referenced.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Master Services Agreement — outline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sz w:val="21"/>
        </w:rPr>
        <w:t>Parties &amp; effective date</w:t>
      </w:r>
      <w:r>
        <w:rPr>
          <w:rFonts w:ascii="Arial" w:hAnsi="Arial"/>
          <w:sz w:val="21"/>
        </w:rPr>
        <w:t xml:space="preserve"> — Cohort Logic (LLC — confirm exact entity, BI-01) and the District/School ("Customer").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Definitions</w:t>
      </w:r>
      <w:r>
        <w:rPr>
          <w:rFonts w:ascii="Arial" w:hAnsi="Arial"/>
          <w:sz w:val="21"/>
        </w:rPr>
        <w:t xml:space="preserve"> — Service, Student Data, Personal Data, Authorized Users, Order, Sub-processor, etc.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sz w:val="21"/>
        </w:rPr>
        <w:t>Services &amp; orders</w:t>
      </w:r>
      <w:r>
        <w:rPr>
          <w:rFonts w:ascii="Arial" w:hAnsi="Arial"/>
          <w:sz w:val="21"/>
        </w:rPr>
        <w:t xml:space="preserve"> — the products licensed (Class Builder / CICO / Schedule Builder / Referral Tracking), provisioning, and how Orders/quotes attach.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/>
          <w:sz w:val="21"/>
        </w:rPr>
        <w:t>License &amp; access</w:t>
      </w:r>
      <w:r>
        <w:rPr>
          <w:rFonts w:ascii="Arial" w:hAnsi="Arial"/>
          <w:sz w:val="21"/>
        </w:rPr>
        <w:t xml:space="preserve"> — right to access the Service for the Customer's internal educational use; Authorized Users; restrictions (mirror the AUP).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/>
          <w:sz w:val="21"/>
        </w:rPr>
        <w:t>Fees &amp; payment</w:t>
      </w:r>
      <w:r>
        <w:rPr>
          <w:rFonts w:ascii="Arial" w:hAnsi="Arial"/>
          <w:sz w:val="21"/>
        </w:rPr>
        <w:t xml:space="preserve"> — subscription fees, term of pricing, invoicing, taxes, late payment. [Coordinate with pricing.html + Stripe, PR-01/09.]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6. </w:t>
      </w:r>
      <w:r>
        <w:rPr>
          <w:rFonts w:ascii="Arial" w:hAnsi="Arial"/>
          <w:b/>
          <w:sz w:val="21"/>
        </w:rPr>
        <w:t>Term &amp; termination</w:t>
      </w:r>
      <w:r>
        <w:rPr>
          <w:rFonts w:ascii="Arial" w:hAnsi="Arial"/>
          <w:sz w:val="21"/>
        </w:rPr>
        <w:t xml:space="preserve"> — initial term, renewal, termination for cause/convenience, effect of termination.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7. </w:t>
      </w:r>
      <w:r>
        <w:rPr>
          <w:rFonts w:ascii="Arial" w:hAnsi="Arial"/>
          <w:b/>
          <w:sz w:val="21"/>
        </w:rPr>
        <w:t>Data protection (core)</w:t>
      </w:r>
      <w:r>
        <w:rPr>
          <w:rFonts w:ascii="Arial" w:hAnsi="Arial"/>
          <w:sz w:val="21"/>
        </w:rPr>
        <w:t xml:space="preserve"> — incorporates the </w:t>
      </w:r>
      <w:r>
        <w:rPr>
          <w:rFonts w:ascii="Arial" w:hAnsi="Arial"/>
          <w:b/>
          <w:sz w:val="21"/>
        </w:rPr>
        <w:t>DPA/NDPA</w:t>
      </w:r>
      <w:r>
        <w:rPr>
          <w:rFonts w:ascii="Arial" w:hAnsi="Arial"/>
          <w:sz w:val="21"/>
        </w:rPr>
        <w:t xml:space="preserve"> (Exhibit 1); FERPA "school official" designation and direct-control terms; purpose limitation; </w:t>
      </w:r>
      <w:r>
        <w:rPr>
          <w:rFonts w:ascii="Arial" w:hAnsi="Arial"/>
          <w:b/>
          <w:sz w:val="21"/>
        </w:rPr>
        <w:t>no sale / no advertising / no secondary use</w:t>
      </w:r>
      <w:r>
        <w:rPr>
          <w:rFonts w:ascii="Arial" w:hAnsi="Arial"/>
          <w:sz w:val="21"/>
        </w:rPr>
        <w:t xml:space="preserve">; sub-processor list; security controls; </w:t>
      </w:r>
      <w:r>
        <w:rPr>
          <w:rFonts w:ascii="Arial" w:hAnsi="Arial"/>
          <w:b/>
          <w:sz w:val="21"/>
        </w:rPr>
        <w:t>breach notification</w:t>
      </w:r>
      <w:r>
        <w:rPr>
          <w:rFonts w:ascii="Arial" w:hAnsi="Arial"/>
          <w:sz w:val="21"/>
        </w:rPr>
        <w:t xml:space="preserve"> (≤72h default, ≤7 days hard ceiling per </w:t>
      </w:r>
      <w:r>
        <w:rPr>
          <w:rFonts w:ascii="Consolas" w:hAnsi="Consolas"/>
          <w:sz w:val="19"/>
        </w:rPr>
        <w:t>05_...</w:t>
      </w:r>
      <w:r>
        <w:rPr>
          <w:rFonts w:ascii="Arial" w:hAnsi="Arial"/>
          <w:sz w:val="21"/>
        </w:rPr>
        <w:t xml:space="preserve">); </w:t>
      </w:r>
      <w:r>
        <w:rPr>
          <w:rFonts w:ascii="Arial" w:hAnsi="Arial"/>
          <w:b/>
          <w:sz w:val="21"/>
        </w:rPr>
        <w:t>data return &amp; deletion</w:t>
      </w:r>
      <w:r>
        <w:rPr>
          <w:rFonts w:ascii="Arial" w:hAnsi="Arial"/>
          <w:sz w:val="21"/>
        </w:rPr>
        <w:t xml:space="preserve"> on termination; assistance with parent/student rights.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8. </w:t>
      </w:r>
      <w:r>
        <w:rPr>
          <w:rFonts w:ascii="Arial" w:hAnsi="Arial"/>
          <w:b/>
          <w:sz w:val="21"/>
        </w:rPr>
        <w:t>Confidentiality</w:t>
      </w:r>
      <w:r>
        <w:rPr>
          <w:rFonts w:ascii="Arial" w:hAnsi="Arial"/>
          <w:sz w:val="21"/>
        </w:rPr>
        <w:t xml:space="preserve"> — mutual; carve-outs; Student Data always treated as Customer confidential information.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9. </w:t>
      </w:r>
      <w:r>
        <w:rPr>
          <w:rFonts w:ascii="Arial" w:hAnsi="Arial"/>
          <w:b/>
          <w:sz w:val="21"/>
        </w:rPr>
        <w:t>Intellectual property</w:t>
      </w:r>
      <w:r>
        <w:rPr>
          <w:rFonts w:ascii="Arial" w:hAnsi="Arial"/>
          <w:sz w:val="21"/>
        </w:rPr>
        <w:t xml:space="preserve"> — Cohort Logic owns the Service; Customer owns its data; feedback license.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10. </w:t>
      </w:r>
      <w:r>
        <w:rPr>
          <w:rFonts w:ascii="Arial" w:hAnsi="Arial"/>
          <w:b/>
          <w:sz w:val="21"/>
        </w:rPr>
        <w:t>Warranties</w:t>
      </w:r>
      <w:r>
        <w:rPr>
          <w:rFonts w:ascii="Arial" w:hAnsi="Arial"/>
          <w:sz w:val="21"/>
        </w:rPr>
        <w:t xml:space="preserve"> — authority; service performed with reasonable skill; Customer's authority to provide Student Data.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11. </w:t>
      </w:r>
      <w:r>
        <w:rPr>
          <w:rFonts w:ascii="Arial" w:hAnsi="Arial"/>
          <w:b/>
          <w:sz w:val="21"/>
        </w:rPr>
        <w:t>Indemnification</w:t>
      </w:r>
      <w:r>
        <w:rPr>
          <w:rFonts w:ascii="Arial" w:hAnsi="Arial"/>
          <w:sz w:val="21"/>
        </w:rPr>
        <w:t xml:space="preserve"> — Cohort Logic for IP/data-security breaches (attorney to scope); Customer for unauthorized data or misuse.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12. </w:t>
      </w:r>
      <w:r>
        <w:rPr>
          <w:rFonts w:ascii="Arial" w:hAnsi="Arial"/>
          <w:b/>
          <w:sz w:val="21"/>
        </w:rPr>
        <w:t>Limitation of liability</w:t>
      </w:r>
      <w:r>
        <w:rPr>
          <w:rFonts w:ascii="Arial" w:hAnsi="Arial"/>
          <w:sz w:val="21"/>
        </w:rPr>
        <w:t xml:space="preserve"> — cap + exclusions; </w:t>
      </w:r>
      <w:r>
        <w:rPr>
          <w:rFonts w:ascii="Arial" w:hAnsi="Arial"/>
          <w:b/>
          <w:sz w:val="21"/>
        </w:rPr>
        <w:t>carve-outs likely for data-breach/confidentiality</w:t>
      </w:r>
      <w:r>
        <w:rPr>
          <w:rFonts w:ascii="Arial" w:hAnsi="Arial"/>
          <w:sz w:val="21"/>
        </w:rPr>
        <w:t xml:space="preserve"> (districts often require a higher cap or carve-out here — coordinate with cyber-insurance limits, BI-04/05).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13. </w:t>
      </w:r>
      <w:r>
        <w:rPr>
          <w:rFonts w:ascii="Arial" w:hAnsi="Arial"/>
          <w:b/>
          <w:sz w:val="21"/>
        </w:rPr>
        <w:t>Insurance</w:t>
      </w:r>
      <w:r>
        <w:rPr>
          <w:rFonts w:ascii="Arial" w:hAnsi="Arial"/>
          <w:sz w:val="21"/>
        </w:rPr>
        <w:t xml:space="preserve"> — Cohort Logic maintains cyber liability and technology E&amp;O at stated limits; provides a COI on request (BI-04/05/07). *(Districts frequently mandate this clause and specific limits.)*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14. </w:t>
      </w:r>
      <w:r>
        <w:rPr>
          <w:rFonts w:ascii="Arial" w:hAnsi="Arial"/>
          <w:b/>
          <w:sz w:val="21"/>
        </w:rPr>
        <w:t>Compliance</w:t>
      </w:r>
      <w:r>
        <w:rPr>
          <w:rFonts w:ascii="Arial" w:hAnsi="Arial"/>
          <w:sz w:val="21"/>
        </w:rPr>
        <w:t xml:space="preserve"> — FERPA, COPPA, and applicable state student-privacy laws; cooperation with the Customer's compliance obligations.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15. </w:t>
      </w:r>
      <w:r>
        <w:rPr>
          <w:rFonts w:ascii="Arial" w:hAnsi="Arial"/>
          <w:b/>
          <w:sz w:val="21"/>
        </w:rPr>
        <w:t>General</w:t>
      </w:r>
      <w:r>
        <w:rPr>
          <w:rFonts w:ascii="Arial" w:hAnsi="Arial"/>
          <w:sz w:val="21"/>
        </w:rPr>
        <w:t xml:space="preserve"> — assignment, notices, governing law/venue, force majeure, entire agreement, order of precedence (DPA controls for Student Data).</w:t>
      </w:r>
    </w:p>
    <w:p>
      <w:pPr>
        <w:spacing w:after="120"/>
      </w:pPr>
      <w:r>
        <w:rPr>
          <w:rFonts w:ascii="Arial" w:hAnsi="Arial"/>
          <w:b/>
          <w:sz w:val="21"/>
        </w:rPr>
        <w:t>Exhibits:</w:t>
      </w:r>
      <w:r>
        <w:rPr>
          <w:rFonts w:ascii="Arial" w:hAnsi="Arial"/>
          <w:sz w:val="21"/>
        </w:rPr>
        <w:t xml:space="preserve"> (1) DPA / SDPC NDPA · (2) Order/Pricing · (3) Data elements schedule (NDPA Exhibit B, from </w:t>
      </w:r>
      <w:r>
        <w:rPr>
          <w:rFonts w:ascii="Consolas" w:hAnsi="Consolas"/>
          <w:sz w:val="19"/>
        </w:rPr>
        <w:t>01_...</w:t>
      </w:r>
      <w:r>
        <w:rPr>
          <w:rFonts w:ascii="Arial" w:hAnsi="Arial"/>
          <w:sz w:val="21"/>
        </w:rPr>
        <w:t>) · (4) Security overview / Trust page reference.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Reviewer notes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Sections </w:t>
      </w:r>
      <w:r>
        <w:rPr>
          <w:rFonts w:ascii="Arial" w:hAnsi="Arial"/>
          <w:b/>
          <w:sz w:val="21"/>
        </w:rPr>
        <w:t>7, 12, 13</w:t>
      </w:r>
      <w:r>
        <w:rPr>
          <w:rFonts w:ascii="Arial" w:hAnsi="Arial"/>
          <w:sz w:val="21"/>
        </w:rPr>
        <w:t xml:space="preserve"> are where district procurement/counsel push hardest (data terms, liability cap for breaches, insurance). Have your attorney pre-negotiate your acceptable positions so you can turn deals around fast.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Keep the MSA's data terms </w:t>
      </w:r>
      <w:r>
        <w:rPr>
          <w:rFonts w:ascii="Arial" w:hAnsi="Arial"/>
          <w:b/>
          <w:sz w:val="21"/>
        </w:rPr>
        <w:t>identical in substance</w:t>
      </w:r>
      <w:r>
        <w:rPr>
          <w:rFonts w:ascii="Arial" w:hAnsi="Arial"/>
          <w:sz w:val="21"/>
        </w:rPr>
        <w:t xml:space="preserve"> to the NDPA so you're never maintaining two different privacy promises.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This is the one document a district's legal team will most want to redline — a clean, reasonable starting draft speeds every deal.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