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Acceptable Use Policy (DRAFT)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BI-11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for attorney review — can be published as a website page or attached as a ToS/MSA exhibit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>Short, plain-English rules for using the Service. Referenced by the ToS (</w:t>
      </w:r>
      <w:r>
        <w:rPr>
          <w:rFonts w:ascii="Consolas" w:hAnsi="Consolas"/>
          <w:color w:val="555F6A"/>
          <w:sz w:val="18"/>
        </w:rPr>
        <w:t>09_...</w:t>
      </w:r>
      <w:r>
        <w:rPr>
          <w:rFonts w:ascii="Arial" w:hAnsi="Arial"/>
          <w:color w:val="555F6A"/>
          <w:sz w:val="20"/>
        </w:rPr>
        <w:t xml:space="preserve"> §5) and MSA (</w:t>
      </w:r>
      <w:r>
        <w:rPr>
          <w:rFonts w:ascii="Consolas" w:hAnsi="Consolas"/>
          <w:color w:val="555F6A"/>
          <w:sz w:val="18"/>
        </w:rPr>
        <w:t>10_...</w:t>
      </w:r>
      <w:r>
        <w:rPr>
          <w:rFonts w:ascii="Arial" w:hAnsi="Arial"/>
          <w:color w:val="555F6A"/>
          <w:sz w:val="20"/>
        </w:rPr>
        <w:t xml:space="preserve"> §4).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Acceptable Use Policy</w:t>
      </w:r>
    </w:p>
    <w:p>
      <w:pPr>
        <w:spacing w:after="120"/>
      </w:pPr>
      <w:r>
        <w:rPr>
          <w:rFonts w:ascii="Arial" w:hAnsi="Arial"/>
          <w:sz w:val="21"/>
        </w:rPr>
        <w:t>By using Cohort Logic, you agree not to: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1. </w:t>
      </w:r>
      <w:r>
        <w:rPr>
          <w:rFonts w:ascii="Arial" w:hAnsi="Arial"/>
          <w:b/>
          <w:sz w:val="21"/>
        </w:rPr>
        <w:t>Enter data you are not authorized to provide.</w:t>
      </w:r>
      <w:r>
        <w:rPr>
          <w:rFonts w:ascii="Arial" w:hAnsi="Arial"/>
          <w:sz w:val="21"/>
        </w:rPr>
        <w:t xml:space="preserve"> Only enter student or staff data your school has the authority to share, consistent with FERPA, COPPA, and applicable state law.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2. </w:t>
      </w:r>
      <w:r>
        <w:rPr>
          <w:rFonts w:ascii="Arial" w:hAnsi="Arial"/>
          <w:b/>
          <w:sz w:val="21"/>
        </w:rPr>
        <w:t>Access data that isn't yours.</w:t>
      </w:r>
      <w:r>
        <w:rPr>
          <w:rFonts w:ascii="Arial" w:hAnsi="Arial"/>
          <w:sz w:val="21"/>
        </w:rPr>
        <w:t xml:space="preserve"> Do not attempt to access, or actually access, another school's data or any account you are not authorized to use.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3. </w:t>
      </w:r>
      <w:r>
        <w:rPr>
          <w:rFonts w:ascii="Arial" w:hAnsi="Arial"/>
          <w:b/>
          <w:sz w:val="21"/>
        </w:rPr>
        <w:t>Circumvent security.</w:t>
      </w:r>
      <w:r>
        <w:rPr>
          <w:rFonts w:ascii="Arial" w:hAnsi="Arial"/>
          <w:sz w:val="21"/>
        </w:rPr>
        <w:t xml:space="preserve"> No probing, scanning, or testing the vulnerability of the Service without our written permission; no defeating authentication, MFA, rate limits, or per-school isolation; no reverse engineering except as law allows.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4. </w:t>
      </w:r>
      <w:r>
        <w:rPr>
          <w:rFonts w:ascii="Arial" w:hAnsi="Arial"/>
          <w:b/>
          <w:sz w:val="21"/>
        </w:rPr>
        <w:t>Disrupt the Service.</w:t>
      </w:r>
      <w:r>
        <w:rPr>
          <w:rFonts w:ascii="Arial" w:hAnsi="Arial"/>
          <w:sz w:val="21"/>
        </w:rPr>
        <w:t xml:space="preserve"> No malware, no denial-of-service, no automated scraping or excessive load, no interfering with other customers' use.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5. </w:t>
      </w:r>
      <w:r>
        <w:rPr>
          <w:rFonts w:ascii="Arial" w:hAnsi="Arial"/>
          <w:b/>
          <w:sz w:val="21"/>
        </w:rPr>
        <w:t>Misuse accounts.</w:t>
      </w:r>
      <w:r>
        <w:rPr>
          <w:rFonts w:ascii="Arial" w:hAnsi="Arial"/>
          <w:sz w:val="21"/>
        </w:rPr>
        <w:t xml:space="preserve"> No sharing credentials, no impersonation, no creating accounts for people who haven't been approved.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6. </w:t>
      </w:r>
      <w:r>
        <w:rPr>
          <w:rFonts w:ascii="Arial" w:hAnsi="Arial"/>
          <w:b/>
          <w:sz w:val="21"/>
        </w:rPr>
        <w:t>Use it unlawfully.</w:t>
      </w:r>
      <w:r>
        <w:rPr>
          <w:rFonts w:ascii="Arial" w:hAnsi="Arial"/>
          <w:sz w:val="21"/>
        </w:rPr>
        <w:t xml:space="preserve"> No use that violates law, infringes rights, or is for any purpose other than your school's internal educational operations.</w:t>
      </w:r>
    </w:p>
    <w:p>
      <w:pPr>
        <w:spacing w:after="40"/>
        <w:ind w:left="403"/>
      </w:pPr>
      <w:r>
        <w:rPr>
          <w:rFonts w:ascii="Arial" w:hAnsi="Arial"/>
          <w:b/>
          <w:sz w:val="21"/>
        </w:rPr>
        <w:t xml:space="preserve">7. </w:t>
      </w:r>
      <w:r>
        <w:rPr>
          <w:rFonts w:ascii="Arial" w:hAnsi="Arial"/>
          <w:b/>
          <w:sz w:val="21"/>
        </w:rPr>
        <w:t>Resell or sublicense</w:t>
      </w:r>
      <w:r>
        <w:rPr>
          <w:rFonts w:ascii="Arial" w:hAnsi="Arial"/>
          <w:sz w:val="21"/>
        </w:rPr>
        <w:t xml:space="preserve"> the Service without our written agreement.</w:t>
      </w:r>
    </w:p>
    <w:p>
      <w:pPr>
        <w:spacing w:after="120"/>
      </w:pPr>
      <w:r>
        <w:rPr>
          <w:rFonts w:ascii="Arial" w:hAnsi="Arial"/>
          <w:b/>
          <w:sz w:val="21"/>
        </w:rPr>
        <w:t>Reporting.</w:t>
      </w:r>
      <w:r>
        <w:rPr>
          <w:rFonts w:ascii="Arial" w:hAnsi="Arial"/>
          <w:sz w:val="21"/>
        </w:rPr>
        <w:t xml:space="preserve"> Report security issues or suspected misuse to </w:t>
      </w:r>
      <w:r>
        <w:rPr>
          <w:rFonts w:ascii="Arial" w:hAnsi="Arial"/>
          <w:b/>
          <w:sz w:val="21"/>
        </w:rPr>
        <w:t>[security@cohortlogic.com]</w:t>
      </w:r>
      <w:r>
        <w:rPr>
          <w:rFonts w:ascii="Arial" w:hAnsi="Arial"/>
          <w:sz w:val="21"/>
        </w:rPr>
        <w:t>. We respond promptly and welcome good-faith vulnerability reports (see the Trust page for our disclosure contact — PR-10).</w:t>
      </w:r>
    </w:p>
    <w:p>
      <w:pPr>
        <w:spacing w:after="120"/>
      </w:pPr>
      <w:r>
        <w:rPr>
          <w:rFonts w:ascii="Arial" w:hAnsi="Arial"/>
          <w:b/>
          <w:sz w:val="21"/>
        </w:rPr>
        <w:t>Enforcement.</w:t>
      </w:r>
      <w:r>
        <w:rPr>
          <w:rFonts w:ascii="Arial" w:hAnsi="Arial"/>
          <w:sz w:val="21"/>
        </w:rPr>
        <w:t xml:space="preserve"> We may investigate violations and may suspend or terminate access for conduct that violates this policy, consistent with the ToS/MSA.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Reviewer notes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Set the reporting address (</w:t>
      </w:r>
      <w:r>
        <w:rPr>
          <w:rFonts w:ascii="Consolas" w:hAnsi="Consolas"/>
          <w:sz w:val="19"/>
        </w:rPr>
        <w:t>security@</w:t>
      </w:r>
      <w:r>
        <w:rPr>
          <w:rFonts w:ascii="Arial" w:hAnsi="Arial"/>
          <w:sz w:val="21"/>
        </w:rPr>
        <w:t xml:space="preserve"> recommended, ties to the vulnerability-disclosure line on the Trust page).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Attorney: confirm the vulnerability-testing carve-out and enforcement language.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