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Data Access / Correction / Deletion Request Runbook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FE-13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— operational runbook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Under FERPA, parents/eligible students exercise data rights </w:t>
      </w:r>
      <w:r>
        <w:rPr>
          <w:rFonts w:ascii="Arial" w:hAnsi="Arial"/>
          <w:b/>
          <w:color w:val="555F6A"/>
          <w:sz w:val="20"/>
        </w:rPr>
        <w:t>through the school</w:t>
      </w:r>
      <w:r>
        <w:rPr>
          <w:rFonts w:ascii="Arial" w:hAnsi="Arial"/>
          <w:color w:val="555F6A"/>
          <w:sz w:val="20"/>
        </w:rPr>
        <w:t>, not directly with the vendor. This runbook is how Cohort Logic responds when a school submits such a request. Ties to the retention policy (</w:t>
      </w:r>
      <w:r>
        <w:rPr>
          <w:rFonts w:ascii="Consolas" w:hAnsi="Consolas"/>
          <w:color w:val="555F6A"/>
          <w:sz w:val="18"/>
        </w:rPr>
        <w:t>02_...</w:t>
      </w:r>
      <w:r>
        <w:rPr>
          <w:rFonts w:ascii="Arial" w:hAnsi="Arial"/>
          <w:color w:val="555F6A"/>
          <w:sz w:val="20"/>
        </w:rPr>
        <w:t xml:space="preserve"> §5).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1. Principle</w:t>
      </w:r>
    </w:p>
    <w:p>
      <w:pPr>
        <w:spacing w:after="120"/>
      </w:pPr>
      <w:r>
        <w:rPr>
          <w:rFonts w:ascii="Arial" w:hAnsi="Arial"/>
          <w:sz w:val="21"/>
        </w:rPr>
        <w:t xml:space="preserve">The </w:t>
      </w:r>
      <w:r>
        <w:rPr>
          <w:rFonts w:ascii="Arial" w:hAnsi="Arial"/>
          <w:b/>
          <w:sz w:val="21"/>
        </w:rPr>
        <w:t>school is the data controller</w:t>
      </w:r>
      <w:r>
        <w:rPr>
          <w:rFonts w:ascii="Arial" w:hAnsi="Arial"/>
          <w:sz w:val="21"/>
        </w:rPr>
        <w:t xml:space="preserve">. Cohort Logic does not act on a parent's request directly; we </w:t>
      </w:r>
      <w:r>
        <w:rPr>
          <w:rFonts w:ascii="Arial" w:hAnsi="Arial"/>
          <w:b/>
          <w:sz w:val="21"/>
        </w:rPr>
        <w:t>support the school</w:t>
      </w:r>
      <w:r>
        <w:rPr>
          <w:rFonts w:ascii="Arial" w:hAnsi="Arial"/>
          <w:sz w:val="21"/>
        </w:rPr>
        <w:t>, which verifies the requester's identity and authority. If a parent contacts us directly, we refer them to their school and (if the school is a customer) notify the school's admin.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2. Request types and how we fulfill them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How it's handled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Target time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Access / review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Most data is self-serve: the school admin can view/export student records in-app. For anything not self-serve, we assist.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[DECIDE: 15 business days]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Correction / amendment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The school edits records directly in-app (changes are captured in the audit log). We assist if a change isn't reachable in the UI.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Self-serve / [15 business days]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Deletion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School admin deletes an individual student, or requests full-school deletion (completed within </w:t>
            </w:r>
            <w:r>
              <w:rPr>
                <w:rFonts w:ascii="Arial" w:hAnsi="Arial"/>
                <w:b/>
                <w:sz w:val="18"/>
              </w:rPr>
              <w:t>30 days</w:t>
            </w:r>
            <w:r>
              <w:rPr>
                <w:rFonts w:ascii="Arial" w:hAnsi="Arial"/>
                <w:sz w:val="18"/>
              </w:rPr>
              <w:t xml:space="preserve"> per the retention policy; backups age out within 90 days).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Per retention policy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Restriction / stop processing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School can deactivate users/records or disable a product; full stop = offboarding (</w:t>
            </w:r>
            <w:r>
              <w:rPr>
                <w:rFonts w:ascii="Consolas" w:hAnsi="Consolas"/>
                <w:sz w:val="16"/>
              </w:rPr>
              <w:t>02_...</w:t>
            </w:r>
            <w:r>
              <w:rPr>
                <w:rFonts w:ascii="Arial" w:hAnsi="Arial"/>
                <w:sz w:val="18"/>
              </w:rPr>
              <w:t>).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Per request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3. Steps for a request from a school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Receive &amp; log</w:t>
      </w:r>
      <w:r>
        <w:rPr>
          <w:rFonts w:ascii="Arial" w:hAnsi="Arial"/>
          <w:sz w:val="21"/>
        </w:rPr>
        <w:t xml:space="preserve"> the request (who, school, type, date) in a request log.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Confirm authority</w:t>
      </w:r>
      <w:r>
        <w:rPr>
          <w:rFonts w:ascii="Arial" w:hAnsi="Arial"/>
          <w:sz w:val="21"/>
        </w:rPr>
        <w:t xml:space="preserve"> — requester is an authorized admin of a customer school (verify against </w:t>
      </w:r>
      <w:r>
        <w:rPr>
          <w:rFonts w:ascii="Consolas" w:hAnsi="Consolas"/>
          <w:sz w:val="19"/>
        </w:rPr>
        <w:t>profiles</w:t>
      </w:r>
      <w:r>
        <w:rPr>
          <w:rFonts w:ascii="Arial" w:hAnsi="Arial"/>
          <w:sz w:val="21"/>
        </w:rPr>
        <w:t>/school records).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Fulfill</w:t>
      </w:r>
      <w:r>
        <w:rPr>
          <w:rFonts w:ascii="Arial" w:hAnsi="Arial"/>
          <w:sz w:val="21"/>
        </w:rPr>
        <w:t xml:space="preserve"> using the self-serve tools where possible; assist directly otherwise.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sz w:val="21"/>
        </w:rPr>
        <w:t>Record</w:t>
      </w:r>
      <w:r>
        <w:rPr>
          <w:rFonts w:ascii="Arial" w:hAnsi="Arial"/>
          <w:sz w:val="21"/>
        </w:rPr>
        <w:t xml:space="preserve"> the action in the FERPA </w:t>
      </w:r>
      <w:r>
        <w:rPr>
          <w:rFonts w:ascii="Consolas" w:hAnsi="Consolas"/>
          <w:sz w:val="19"/>
        </w:rPr>
        <w:t>audit_log</w:t>
      </w:r>
      <w:r>
        <w:rPr>
          <w:rFonts w:ascii="Arial" w:hAnsi="Arial"/>
          <w:sz w:val="21"/>
        </w:rPr>
        <w:t>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/>
          <w:sz w:val="21"/>
        </w:rPr>
        <w:t>Confirm</w:t>
      </w:r>
      <w:r>
        <w:rPr>
          <w:rFonts w:ascii="Arial" w:hAnsi="Arial"/>
          <w:sz w:val="21"/>
        </w:rPr>
        <w:t xml:space="preserve"> completion back to the school in writing, within the target time.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4. Notes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Keep a simple </w:t>
      </w:r>
      <w:r>
        <w:rPr>
          <w:rFonts w:ascii="Arial" w:hAnsi="Arial"/>
          <w:b/>
          <w:sz w:val="21"/>
        </w:rPr>
        <w:t>request register</w:t>
      </w:r>
      <w:r>
        <w:rPr>
          <w:rFonts w:ascii="Arial" w:hAnsi="Arial"/>
          <w:sz w:val="21"/>
        </w:rPr>
        <w:t xml:space="preserve"> (date, school, type, resolution, date closed) — questionnaires and some state laws expect you to demonstrate a process exists.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Set the dedicated intake address </w:t>
      </w:r>
      <w:r>
        <w:rPr>
          <w:rFonts w:ascii="Arial" w:hAnsi="Arial"/>
          <w:b/>
          <w:sz w:val="21"/>
        </w:rPr>
        <w:t>[privacy@cohortlogic.com]</w:t>
      </w:r>
      <w:r>
        <w:rPr>
          <w:rFonts w:ascii="Arial" w:hAnsi="Arial"/>
          <w:sz w:val="21"/>
        </w:rPr>
        <w:t xml:space="preserve"> and reference it in the Privacy Policy.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Decide the </w:t>
      </w:r>
      <w:r>
        <w:rPr>
          <w:rFonts w:ascii="Consolas" w:hAnsi="Consolas"/>
          <w:sz w:val="19"/>
        </w:rPr>
        <w:t>[DECIDE]</w:t>
      </w:r>
      <w:r>
        <w:rPr>
          <w:rFonts w:ascii="Arial" w:hAnsi="Arial"/>
          <w:sz w:val="21"/>
        </w:rPr>
        <w:t xml:space="preserve"> access/correction turnaround and align it with any stricter contract or state-law deadline.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