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Bdr>
          <w:bottom w:val="single" w:sz="12" w:space="4" w:color="2A9D8F"/>
        </w:pBdr>
      </w:pPr>
      <w:r>
        <w:rPr>
          <w:rFonts w:ascii="Arial" w:hAnsi="Arial"/>
          <w:b/>
          <w:color w:val="1E3A5F"/>
          <w:sz w:val="34"/>
        </w:rPr>
        <w:t>Cohort Logic — Terms of Service (PHASE 1 LAUNCH VERSION)</w:t>
      </w:r>
    </w:p>
    <w:p>
      <w:pPr>
        <w:spacing w:after="120"/>
      </w:pPr>
      <w:r>
        <w:rPr>
          <w:rFonts w:ascii="Arial" w:hAnsi="Arial"/>
          <w:b/>
          <w:sz w:val="21"/>
        </w:rPr>
        <w:t>Tracker item:</w:t>
      </w:r>
      <w:r>
        <w:rPr>
          <w:rFonts w:ascii="Arial" w:hAnsi="Arial"/>
          <w:sz w:val="21"/>
        </w:rPr>
        <w:t xml:space="preserve"> BI-08 (Phase 1)</w:t>
      </w:r>
    </w:p>
    <w:p>
      <w:pPr>
        <w:spacing w:after="120"/>
      </w:pPr>
      <w:r>
        <w:rPr>
          <w:rFonts w:ascii="Arial" w:hAnsi="Arial"/>
          <w:b/>
          <w:sz w:val="21"/>
        </w:rPr>
        <w:t>Status:</w:t>
      </w:r>
      <w:r>
        <w:rPr>
          <w:rFonts w:ascii="Arial" w:hAnsi="Arial"/>
          <w:sz w:val="21"/>
        </w:rPr>
        <w:t xml:space="preserve"> LAUNCH DRAFT — for attorney review, then port into a live </w:t>
      </w:r>
      <w:r>
        <w:rPr>
          <w:rFonts w:ascii="Consolas" w:hAnsi="Consolas"/>
          <w:sz w:val="19"/>
        </w:rPr>
        <w:t>terms.html</w:t>
      </w:r>
      <w:r>
        <w:rPr>
          <w:rFonts w:ascii="Arial" w:hAnsi="Arial"/>
          <w:sz w:val="21"/>
        </w:rPr>
        <w:t xml:space="preserve"> (later website batch). Replaces the beta agreement. Live pages NOT yet changed.</w:t>
      </w:r>
    </w:p>
    <w:p>
      <w:pPr>
        <w:spacing w:after="120"/>
      </w:pPr>
      <w:r>
        <w:rPr>
          <w:rFonts w:ascii="Arial" w:hAnsi="Arial"/>
          <w:b/>
          <w:sz w:val="21"/>
        </w:rPr>
        <w:t>Scope:</w:t>
      </w:r>
      <w:r>
        <w:rPr>
          <w:rFonts w:ascii="Arial" w:hAnsi="Arial"/>
          <w:sz w:val="21"/>
        </w:rPr>
        <w:t xml:space="preserve"> Class Builder + Schedule Builder only. </w:t>
      </w:r>
      <w:r>
        <w:rPr>
          <w:rFonts w:ascii="Arial" w:hAnsi="Arial"/>
          <w:b/>
          <w:sz w:val="21"/>
        </w:rPr>
        <w:t>Supersedes the fuller `09_...` draft for launch</w:t>
      </w:r>
      <w:r>
        <w:rPr>
          <w:rFonts w:ascii="Arial" w:hAnsi="Arial"/>
          <w:sz w:val="21"/>
        </w:rPr>
        <w:t xml:space="preserve"> (09 kept as the Phase-2 baseline for when CICO/Referral Tracking ship).</w:t>
      </w:r>
    </w:p>
    <w:p>
      <w:pPr>
        <w:spacing w:after="120"/>
      </w:pPr>
      <w:r>
        <w:rPr>
          <w:rFonts w:ascii="Arial" w:hAnsi="Arial"/>
          <w:b/>
          <w:sz w:val="21"/>
        </w:rPr>
        <w:t>Last updated:</w:t>
      </w:r>
      <w:r>
        <w:rPr>
          <w:rFonts w:ascii="Arial" w:hAnsi="Arial"/>
          <w:sz w:val="21"/>
        </w:rPr>
        <w:t xml:space="preserve"> 2026-07-21 (by Claude)</w:t>
      </w:r>
    </w:p>
    <w:p>
      <w:pPr>
        <w:spacing w:before="80" w:after="120"/>
        <w:ind w:left="288"/>
        <w:pBdr>
          <w:left w:val="single" w:sz="18" w:space="8" w:color="2A9D8F"/>
        </w:pBdr>
      </w:pPr>
      <w:r>
        <w:rPr>
          <w:rFonts w:ascii="Arial" w:hAnsi="Arial"/>
          <w:color w:val="555F6A"/>
          <w:sz w:val="20"/>
        </w:rPr>
        <w:t xml:space="preserve">The current live "terms" is a </w:t>
      </w:r>
      <w:r>
        <w:rPr>
          <w:rFonts w:ascii="Arial" w:hAnsi="Arial"/>
          <w:b/>
          <w:color w:val="555F6A"/>
          <w:sz w:val="20"/>
        </w:rPr>
        <w:t>Beta Agreement</w:t>
      </w:r>
      <w:r>
        <w:rPr>
          <w:rFonts w:ascii="Arial" w:hAnsi="Arial"/>
          <w:color w:val="555F6A"/>
          <w:sz w:val="20"/>
        </w:rPr>
        <w:t xml:space="preserve"> that tells users *not* to enter real student data. This lean production ToS replaces it, and reflects the launch reality: two </w:t>
      </w:r>
      <w:r>
        <w:rPr>
          <w:rFonts w:ascii="Arial" w:hAnsi="Arial"/>
          <w:b/>
          <w:color w:val="555F6A"/>
          <w:sz w:val="20"/>
        </w:rPr>
        <w:t>browser-only</w:t>
      </w:r>
      <w:r>
        <w:rPr>
          <w:rFonts w:ascii="Arial" w:hAnsi="Arial"/>
          <w:color w:val="555F6A"/>
          <w:sz w:val="20"/>
        </w:rPr>
        <w:t xml:space="preserve"> products that never store student data on our servers. It stays short and references the lean Privacy Policy (</w:t>
      </w:r>
      <w:r>
        <w:rPr>
          <w:rFonts w:ascii="Consolas" w:hAnsi="Consolas"/>
          <w:color w:val="555F6A"/>
          <w:sz w:val="18"/>
        </w:rPr>
        <w:t>17_...</w:t>
      </w:r>
      <w:r>
        <w:rPr>
          <w:rFonts w:ascii="Arial" w:hAnsi="Arial"/>
          <w:color w:val="555F6A"/>
          <w:sz w:val="20"/>
        </w:rPr>
        <w:t>) and AUP (</w:t>
      </w:r>
      <w:r>
        <w:rPr>
          <w:rFonts w:ascii="Consolas" w:hAnsi="Consolas"/>
          <w:color w:val="555F6A"/>
          <w:sz w:val="18"/>
        </w:rPr>
        <w:t>11_...</w:t>
      </w:r>
      <w:r>
        <w:rPr>
          <w:rFonts w:ascii="Arial" w:hAnsi="Arial"/>
          <w:color w:val="555F6A"/>
          <w:sz w:val="20"/>
        </w:rPr>
        <w:t>).</w:t>
      </w:r>
    </w:p>
    <w:p>
      <w:pPr>
        <w:spacing w:before="240" w:after="80"/>
      </w:pPr>
      <w:r>
        <w:rPr>
          <w:rFonts w:ascii="Arial" w:hAnsi="Arial"/>
          <w:b/>
          <w:color w:val="1E3A5F"/>
          <w:sz w:val="27"/>
        </w:rPr>
        <w:t>Terms of Service</w:t>
      </w:r>
    </w:p>
    <w:p>
      <w:pPr>
        <w:spacing w:after="120"/>
      </w:pPr>
      <w:r>
        <w:rPr>
          <w:rFonts w:ascii="Arial" w:hAnsi="Arial"/>
          <w:b/>
          <w:sz w:val="21"/>
        </w:rPr>
        <w:t>Effective:</w:t>
      </w:r>
      <w:r>
        <w:rPr>
          <w:rFonts w:ascii="Arial" w:hAnsi="Arial"/>
          <w:sz w:val="21"/>
        </w:rPr>
        <w:t xml:space="preserve"> [DATE] · </w:t>
      </w:r>
      <w:r>
        <w:rPr>
          <w:rFonts w:ascii="Arial" w:hAnsi="Arial"/>
          <w:b/>
          <w:sz w:val="21"/>
        </w:rPr>
        <w:t>Version:</w:t>
      </w:r>
      <w:r>
        <w:rPr>
          <w:rFonts w:ascii="Arial" w:hAnsi="Arial"/>
          <w:sz w:val="21"/>
        </w:rPr>
        <w:t xml:space="preserve"> 1.0</w:t>
      </w:r>
    </w:p>
    <w:p>
      <w:pPr>
        <w:spacing w:after="120"/>
      </w:pPr>
      <w:r>
        <w:rPr>
          <w:rFonts w:ascii="Arial" w:hAnsi="Arial"/>
          <w:b/>
          <w:sz w:val="21"/>
        </w:rPr>
        <w:t>1. Agreement.</w:t>
      </w:r>
      <w:r>
        <w:rPr>
          <w:rFonts w:ascii="Arial" w:hAnsi="Arial"/>
          <w:sz w:val="21"/>
        </w:rPr>
        <w:t xml:space="preserve"> By creating an account or using Cohort Logic ("Service"), you agree to these Terms. If you accept on behalf of a school or district ("Customer"), you represent that you are authorized to bind it.</w:t>
      </w:r>
    </w:p>
    <w:p>
      <w:pPr>
        <w:spacing w:after="120"/>
      </w:pPr>
      <w:r>
        <w:rPr>
          <w:rFonts w:ascii="Arial" w:hAnsi="Arial"/>
          <w:b/>
          <w:sz w:val="21"/>
        </w:rPr>
        <w:t>2. The Service.</w:t>
      </w:r>
      <w:r>
        <w:rPr>
          <w:rFonts w:ascii="Arial" w:hAnsi="Arial"/>
          <w:sz w:val="21"/>
        </w:rPr>
        <w:t xml:space="preserve"> Cohort Logic provides web-based administrative tools for K-12 school staff:</w:t>
      </w:r>
    </w:p>
    <w:p>
      <w:pPr>
        <w:spacing w:after="40"/>
        <w:ind w:left="403"/>
      </w:pPr>
      <w:r>
        <w:rPr>
          <w:rFonts w:ascii="Arial" w:hAnsi="Arial"/>
          <w:b/>
          <w:color w:val="2A9D8F"/>
          <w:sz w:val="21"/>
        </w:rPr>
        <w:t xml:space="preserve">•  </w:t>
      </w:r>
      <w:r>
        <w:rPr>
          <w:rFonts w:ascii="Arial" w:hAnsi="Arial"/>
          <w:b/>
          <w:sz w:val="21"/>
        </w:rPr>
        <w:t>Class Builder</w:t>
      </w:r>
      <w:r>
        <w:rPr>
          <w:rFonts w:ascii="Arial" w:hAnsi="Arial"/>
          <w:sz w:val="21"/>
        </w:rPr>
        <w:t xml:space="preserve"> — generates balanced class lists </w:t>
      </w:r>
      <w:r>
        <w:rPr>
          <w:rFonts w:ascii="Arial" w:hAnsi="Arial"/>
          <w:b/>
          <w:sz w:val="21"/>
        </w:rPr>
        <w:t>in your browser</w:t>
      </w:r>
      <w:r>
        <w:rPr>
          <w:rFonts w:ascii="Arial" w:hAnsi="Arial"/>
          <w:sz w:val="21"/>
        </w:rPr>
        <w:t>; and</w:t>
      </w:r>
    </w:p>
    <w:p>
      <w:pPr>
        <w:spacing w:after="40"/>
        <w:ind w:left="403"/>
      </w:pPr>
      <w:r>
        <w:rPr>
          <w:rFonts w:ascii="Arial" w:hAnsi="Arial"/>
          <w:b/>
          <w:color w:val="2A9D8F"/>
          <w:sz w:val="21"/>
        </w:rPr>
        <w:t xml:space="preserve">•  </w:t>
      </w:r>
      <w:r>
        <w:rPr>
          <w:rFonts w:ascii="Arial" w:hAnsi="Arial"/>
          <w:b/>
          <w:sz w:val="21"/>
        </w:rPr>
        <w:t>Schedule Builder</w:t>
      </w:r>
      <w:r>
        <w:rPr>
          <w:rFonts w:ascii="Arial" w:hAnsi="Arial"/>
          <w:sz w:val="21"/>
        </w:rPr>
        <w:t xml:space="preserve"> — builds master schedules </w:t>
      </w:r>
      <w:r>
        <w:rPr>
          <w:rFonts w:ascii="Arial" w:hAnsi="Arial"/>
          <w:b/>
          <w:sz w:val="21"/>
        </w:rPr>
        <w:t>in your browser</w:t>
      </w:r>
      <w:r>
        <w:rPr>
          <w:rFonts w:ascii="Arial" w:hAnsi="Arial"/>
          <w:sz w:val="21"/>
        </w:rPr>
        <w:t>, saved to a file you download.</w:t>
      </w:r>
    </w:p>
    <w:p>
      <w:pPr>
        <w:spacing w:after="120"/>
      </w:pPr>
      <w:r>
        <w:rPr>
          <w:rFonts w:ascii="Arial" w:hAnsi="Arial"/>
          <w:sz w:val="21"/>
        </w:rPr>
        <w:t xml:space="preserve">Both products process your data </w:t>
      </w:r>
      <w:r>
        <w:rPr>
          <w:rFonts w:ascii="Arial" w:hAnsi="Arial"/>
          <w:b/>
          <w:sz w:val="21"/>
        </w:rPr>
        <w:t>on your own device</w:t>
      </w:r>
      <w:r>
        <w:rPr>
          <w:rFonts w:ascii="Arial" w:hAnsi="Arial"/>
          <w:sz w:val="21"/>
        </w:rPr>
        <w:t xml:space="preserve">. Cohort Logic does </w:t>
      </w:r>
      <w:r>
        <w:rPr>
          <w:rFonts w:ascii="Arial" w:hAnsi="Arial"/>
          <w:b/>
          <w:sz w:val="21"/>
        </w:rPr>
        <w:t>not</w:t>
      </w:r>
      <w:r>
        <w:rPr>
          <w:rFonts w:ascii="Arial" w:hAnsi="Arial"/>
          <w:sz w:val="21"/>
        </w:rPr>
        <w:t xml:space="preserve"> receive or store your student rosters or schedule data on its servers. We store only your staff account information and anonymous usage analytics, as described in the </w:t>
      </w:r>
      <w:r>
        <w:rPr>
          <w:rFonts w:ascii="Arial" w:hAnsi="Arial"/>
          <w:b/>
          <w:sz w:val="21"/>
        </w:rPr>
        <w:t>Privacy Policy</w:t>
      </w:r>
      <w:r>
        <w:rPr>
          <w:rFonts w:ascii="Arial" w:hAnsi="Arial"/>
          <w:sz w:val="21"/>
        </w:rPr>
        <w:t xml:space="preserve"> (</w:t>
      </w:r>
      <w:r>
        <w:rPr>
          <w:rFonts w:ascii="Consolas" w:hAnsi="Consolas"/>
          <w:sz w:val="19"/>
        </w:rPr>
        <w:t>17_...</w:t>
      </w:r>
      <w:r>
        <w:rPr>
          <w:rFonts w:ascii="Arial" w:hAnsi="Arial"/>
          <w:sz w:val="21"/>
        </w:rPr>
        <w:t>).</w:t>
      </w:r>
    </w:p>
    <w:p>
      <w:pPr>
        <w:spacing w:after="120"/>
      </w:pPr>
      <w:r>
        <w:rPr>
          <w:rFonts w:ascii="Arial" w:hAnsi="Arial"/>
          <w:b/>
          <w:sz w:val="21"/>
        </w:rPr>
        <w:t>3. Accounts.</w:t>
      </w:r>
      <w:r>
        <w:rPr>
          <w:rFonts w:ascii="Arial" w:hAnsi="Arial"/>
          <w:sz w:val="21"/>
        </w:rPr>
        <w:t xml:space="preserve"> The Service is for school staff and administrators. Provide accurate information, keep your credentials secure, enable multi-factor authentication where offered, and remain responsible for activity under your account. New accounts may require administrator approval.</w:t>
      </w:r>
    </w:p>
    <w:p>
      <w:pPr>
        <w:spacing w:after="120"/>
      </w:pPr>
      <w:r>
        <w:rPr>
          <w:rFonts w:ascii="Arial" w:hAnsi="Arial"/>
          <w:b/>
          <w:sz w:val="21"/>
        </w:rPr>
        <w:t>4. Your data and your responsibilities.</w:t>
      </w:r>
      <w:r>
        <w:rPr>
          <w:rFonts w:ascii="Arial" w:hAnsi="Arial"/>
          <w:sz w:val="21"/>
        </w:rPr>
        <w:t xml:space="preserve"> You retain all rights to the data you process with the Service, and — because that data stays on your device — you are responsible for saving and safeguarding your own files (for example, downloading and keeping your Schedule Builder file). You are responsible for ensuring your use of the Service, and any data you process with it, complies with applicable law and your school's policies. You represent that you are authorized to use any data you input.</w:t>
      </w:r>
    </w:p>
    <w:p>
      <w:pPr>
        <w:spacing w:after="120"/>
      </w:pPr>
      <w:r>
        <w:rPr>
          <w:rFonts w:ascii="Arial" w:hAnsi="Arial"/>
          <w:b/>
          <w:sz w:val="21"/>
        </w:rPr>
        <w:t>5. Acceptable use.</w:t>
      </w:r>
      <w:r>
        <w:rPr>
          <w:rFonts w:ascii="Arial" w:hAnsi="Arial"/>
          <w:sz w:val="21"/>
        </w:rPr>
        <w:t xml:space="preserve"> You will comply with the Acceptable Use Policy (</w:t>
      </w:r>
      <w:r>
        <w:rPr>
          <w:rFonts w:ascii="Consolas" w:hAnsi="Consolas"/>
          <w:sz w:val="19"/>
        </w:rPr>
        <w:t>11_...</w:t>
      </w:r>
      <w:r>
        <w:rPr>
          <w:rFonts w:ascii="Arial" w:hAnsi="Arial"/>
          <w:sz w:val="21"/>
        </w:rPr>
        <w:t>): no unlawful use, no attempting to access accounts or data that aren't yours, no security circumvention, no malware, no reselling the Service.</w:t>
      </w:r>
    </w:p>
    <w:p>
      <w:pPr>
        <w:spacing w:after="120"/>
      </w:pPr>
      <w:r>
        <w:rPr>
          <w:rFonts w:ascii="Arial" w:hAnsi="Arial"/>
          <w:b/>
          <w:sz w:val="21"/>
        </w:rPr>
        <w:t>6. Privacy.</w:t>
      </w:r>
      <w:r>
        <w:rPr>
          <w:rFonts w:ascii="Arial" w:hAnsi="Arial"/>
          <w:sz w:val="21"/>
        </w:rPr>
        <w:t xml:space="preserve"> Our handling of the limited personal data we do store (staff accounts, anonymous analytics) is governed by the </w:t>
      </w:r>
      <w:r>
        <w:rPr>
          <w:rFonts w:ascii="Arial" w:hAnsi="Arial"/>
          <w:b/>
          <w:sz w:val="21"/>
        </w:rPr>
        <w:t>Privacy Policy</w:t>
      </w:r>
      <w:r>
        <w:rPr>
          <w:rFonts w:ascii="Arial" w:hAnsi="Arial"/>
          <w:sz w:val="21"/>
        </w:rPr>
        <w:t xml:space="preserve">, incorporated by reference. Where a Customer requires one, we will sign a </w:t>
      </w:r>
      <w:r>
        <w:rPr>
          <w:rFonts w:ascii="Arial" w:hAnsi="Arial"/>
          <w:b/>
          <w:sz w:val="21"/>
        </w:rPr>
        <w:t>Data Processing Agreement / SDPC NDPA</w:t>
      </w:r>
      <w:r>
        <w:rPr>
          <w:rFonts w:ascii="Arial" w:hAnsi="Arial"/>
          <w:sz w:val="21"/>
        </w:rPr>
        <w:t>; because we do not store student data for these products, that agreement's data schedule is minimal.</w:t>
      </w:r>
    </w:p>
    <w:p>
      <w:pPr>
        <w:spacing w:after="120"/>
      </w:pPr>
      <w:r>
        <w:rPr>
          <w:rFonts w:ascii="Arial" w:hAnsi="Arial"/>
          <w:b/>
          <w:sz w:val="21"/>
        </w:rPr>
        <w:t>7. Fees and subscriptions.</w:t>
      </w:r>
      <w:r>
        <w:rPr>
          <w:rFonts w:ascii="Arial" w:hAnsi="Arial"/>
          <w:sz w:val="21"/>
        </w:rPr>
        <w:t xml:space="preserve"> [Free through the stated launch window.] Paid plans, billing, renewal, and taxes are set out in the applicable order, checkout terms, or a Master Services Agreement. [Reconcile with pricing + Stripe when billing goes live — PR-01/09.]</w:t>
      </w:r>
    </w:p>
    <w:p>
      <w:pPr>
        <w:spacing w:after="120"/>
      </w:pPr>
      <w:r>
        <w:rPr>
          <w:rFonts w:ascii="Arial" w:hAnsi="Arial"/>
          <w:b/>
          <w:sz w:val="21"/>
        </w:rPr>
        <w:t>8. Term, suspension, termination.</w:t>
      </w:r>
      <w:r>
        <w:rPr>
          <w:rFonts w:ascii="Arial" w:hAnsi="Arial"/>
          <w:sz w:val="21"/>
        </w:rPr>
        <w:t xml:space="preserve"> Either party may terminate as set out in the applicable order or, for self-serve accounts, at any time. We may suspend for non-payment, security risk, or AUP violation. Section 9 governs your data on termination.</w:t>
      </w:r>
    </w:p>
    <w:p>
      <w:pPr>
        <w:spacing w:after="120"/>
      </w:pPr>
      <w:r>
        <w:rPr>
          <w:rFonts w:ascii="Arial" w:hAnsi="Arial"/>
          <w:b/>
          <w:sz w:val="21"/>
        </w:rPr>
        <w:t>9. Your data on termination.</w:t>
      </w:r>
      <w:r>
        <w:rPr>
          <w:rFonts w:ascii="Arial" w:hAnsi="Arial"/>
          <w:sz w:val="21"/>
        </w:rPr>
        <w:t xml:space="preserve"> Because your rosters and schedules live on your own device, they remain with you. We will delete your </w:t>
      </w:r>
      <w:r>
        <w:rPr>
          <w:rFonts w:ascii="Arial" w:hAnsi="Arial"/>
          <w:b/>
          <w:sz w:val="21"/>
        </w:rPr>
        <w:t>account</w:t>
      </w:r>
      <w:r>
        <w:rPr>
          <w:rFonts w:ascii="Arial" w:hAnsi="Arial"/>
          <w:sz w:val="21"/>
        </w:rPr>
        <w:t xml:space="preserve"> information per the Privacy Policy retention schedule (deletion within 30 days of request; backups age out within 90 days).</w:t>
      </w:r>
    </w:p>
    <w:p>
      <w:pPr>
        <w:spacing w:after="120"/>
      </w:pPr>
      <w:r>
        <w:rPr>
          <w:rFonts w:ascii="Arial" w:hAnsi="Arial"/>
          <w:b/>
          <w:sz w:val="21"/>
        </w:rPr>
        <w:t>10. Intellectual property.</w:t>
      </w:r>
      <w:r>
        <w:rPr>
          <w:rFonts w:ascii="Arial" w:hAnsi="Arial"/>
          <w:sz w:val="21"/>
        </w:rPr>
        <w:t xml:space="preserve"> We own the Service and its software; you own your data. You grant us only the limited rights needed to operate the Service and the anonymous analytics described in the Privacy Policy.</w:t>
      </w:r>
    </w:p>
    <w:p>
      <w:pPr>
        <w:spacing w:after="120"/>
      </w:pPr>
      <w:r>
        <w:rPr>
          <w:rFonts w:ascii="Arial" w:hAnsi="Arial"/>
          <w:b/>
          <w:sz w:val="21"/>
        </w:rPr>
        <w:t>11. Warranties and disclaimers.</w:t>
      </w:r>
      <w:r>
        <w:rPr>
          <w:rFonts w:ascii="Arial" w:hAnsi="Arial"/>
          <w:sz w:val="21"/>
        </w:rPr>
        <w:t xml:space="preserve"> [Early-stage disclaimer as applicable.] Except as expressly stated, the Service is provided "as is." [Attorney to set the production warranty posture.]</w:t>
      </w:r>
    </w:p>
    <w:p>
      <w:pPr>
        <w:spacing w:after="120"/>
      </w:pPr>
      <w:r>
        <w:rPr>
          <w:rFonts w:ascii="Arial" w:hAnsi="Arial"/>
          <w:b/>
          <w:sz w:val="21"/>
        </w:rPr>
        <w:t>12. Limitation of liability.</w:t>
      </w:r>
      <w:r>
        <w:rPr>
          <w:rFonts w:ascii="Arial" w:hAnsi="Arial"/>
          <w:sz w:val="21"/>
        </w:rPr>
        <w:t xml:space="preserve"> [Liability cap and exclusion of indirect/consequential damages — attorney to set, coordinated with the insurance limits in BI-04/05. Note: with no student data stored, data-breach exposure is materially lower, which should inform the cap.]</w:t>
      </w:r>
    </w:p>
    <w:p>
      <w:pPr>
        <w:spacing w:after="120"/>
      </w:pPr>
      <w:r>
        <w:rPr>
          <w:rFonts w:ascii="Arial" w:hAnsi="Arial"/>
          <w:b/>
          <w:sz w:val="21"/>
        </w:rPr>
        <w:t>13. Indemnification.</w:t>
      </w:r>
      <w:r>
        <w:rPr>
          <w:rFonts w:ascii="Arial" w:hAnsi="Arial"/>
          <w:sz w:val="21"/>
        </w:rPr>
        <w:t xml:space="preserve"> [Attorney to draft — mutual or one-way; coordinate with §4 (your authority to use data) and our security obligations.]</w:t>
      </w:r>
    </w:p>
    <w:p>
      <w:pPr>
        <w:spacing w:after="120"/>
      </w:pPr>
      <w:r>
        <w:rPr>
          <w:rFonts w:ascii="Arial" w:hAnsi="Arial"/>
          <w:b/>
          <w:sz w:val="21"/>
        </w:rPr>
        <w:t>14. Governing law and disputes.</w:t>
      </w:r>
      <w:r>
        <w:rPr>
          <w:rFonts w:ascii="Arial" w:hAnsi="Arial"/>
          <w:sz w:val="21"/>
        </w:rPr>
        <w:t xml:space="preserve"> [State of Oregon or as advised] — attorney to set venue/arbitration.</w:t>
      </w:r>
    </w:p>
    <w:p>
      <w:pPr>
        <w:spacing w:after="120"/>
      </w:pPr>
      <w:r>
        <w:rPr>
          <w:rFonts w:ascii="Arial" w:hAnsi="Arial"/>
          <w:b/>
          <w:sz w:val="21"/>
        </w:rPr>
        <w:t>15. Changes.</w:t>
      </w:r>
      <w:r>
        <w:rPr>
          <w:rFonts w:ascii="Arial" w:hAnsi="Arial"/>
          <w:sz w:val="21"/>
        </w:rPr>
        <w:t xml:space="preserve"> We may update these Terms; material changes will be communicated, and continued use constitutes acceptance.</w:t>
      </w:r>
    </w:p>
    <w:p>
      <w:pPr>
        <w:spacing w:after="120"/>
      </w:pPr>
      <w:r>
        <w:rPr>
          <w:rFonts w:ascii="Arial" w:hAnsi="Arial"/>
          <w:b/>
          <w:sz w:val="21"/>
        </w:rPr>
        <w:t>16. Contact.</w:t>
      </w:r>
      <w:r>
        <w:rPr>
          <w:rFonts w:ascii="Arial" w:hAnsi="Arial"/>
          <w:sz w:val="21"/>
        </w:rPr>
        <w:t xml:space="preserve"> [legal@cohortlogic.com / hello@cohortlogic.com]</w:t>
      </w:r>
    </w:p>
    <w:p>
      <w:pPr>
        <w:spacing w:before="160" w:after="60"/>
      </w:pPr>
      <w:r>
        <w:rPr>
          <w:rFonts w:ascii="Arial" w:hAnsi="Arial"/>
          <w:b/>
          <w:color w:val="2A9D8F"/>
          <w:sz w:val="23"/>
        </w:rPr>
        <w:t>Reviewer notes (not published)</w:t>
      </w:r>
    </w:p>
    <w:p>
      <w:pPr>
        <w:spacing w:after="40"/>
        <w:ind w:left="403"/>
      </w:pPr>
      <w:r>
        <w:rPr>
          <w:rFonts w:ascii="Arial" w:hAnsi="Arial"/>
          <w:b/>
          <w:color w:val="2A9D8F"/>
          <w:sz w:val="21"/>
        </w:rPr>
        <w:t xml:space="preserve">•  </w:t>
      </w:r>
      <w:r>
        <w:rPr>
          <w:rFonts w:ascii="Arial" w:hAnsi="Arial"/>
          <w:sz w:val="21"/>
        </w:rPr>
        <w:t>The launch posture makes this genuinely simpler than a data-storing SaaS: §§2, 4, 9 all lean on "your data stays on your device." Have counsel confirm that framing and that §4 adequately places data-authority responsibility on the Customer.</w:t>
      </w:r>
    </w:p>
    <w:p>
      <w:pPr>
        <w:spacing w:after="40"/>
        <w:ind w:left="403"/>
      </w:pPr>
      <w:r>
        <w:rPr>
          <w:rFonts w:ascii="Arial" w:hAnsi="Arial"/>
          <w:b/>
          <w:color w:val="2A9D8F"/>
          <w:sz w:val="21"/>
        </w:rPr>
        <w:t xml:space="preserve">•  </w:t>
      </w:r>
      <w:r>
        <w:rPr>
          <w:rFonts w:ascii="Arial" w:hAnsi="Arial"/>
          <w:sz w:val="21"/>
        </w:rPr>
        <w:t>Bracketed sections (7, 11, 12, 13, 14) are business/legal decisions — coordinate the liability cap (12) with your cyber/E&amp;O limits (BI-04/05); note the reduced breach exposure.</w:t>
      </w:r>
    </w:p>
    <w:p>
      <w:pPr>
        <w:spacing w:after="40"/>
        <w:ind w:left="403"/>
      </w:pPr>
      <w:r>
        <w:rPr>
          <w:rFonts w:ascii="Arial" w:hAnsi="Arial"/>
          <w:b/>
          <w:color w:val="2A9D8F"/>
          <w:sz w:val="21"/>
        </w:rPr>
        <w:t xml:space="preserve">•  </w:t>
      </w:r>
      <w:r>
        <w:rPr>
          <w:rFonts w:ascii="Arial" w:hAnsi="Arial"/>
          <w:sz w:val="21"/>
        </w:rPr>
        <w:t>Keep consistent with the lean Privacy Policy (</w:t>
      </w:r>
      <w:r>
        <w:rPr>
          <w:rFonts w:ascii="Consolas" w:hAnsi="Consolas"/>
          <w:sz w:val="19"/>
        </w:rPr>
        <w:t>17_...</w:t>
      </w:r>
      <w:r>
        <w:rPr>
          <w:rFonts w:ascii="Arial" w:hAnsi="Arial"/>
          <w:sz w:val="21"/>
        </w:rPr>
        <w:t>), AUP (</w:t>
      </w:r>
      <w:r>
        <w:rPr>
          <w:rFonts w:ascii="Consolas" w:hAnsi="Consolas"/>
          <w:sz w:val="19"/>
        </w:rPr>
        <w:t>11_...</w:t>
      </w:r>
      <w:r>
        <w:rPr>
          <w:rFonts w:ascii="Arial" w:hAnsi="Arial"/>
          <w:sz w:val="21"/>
        </w:rPr>
        <w:t>), and any MSA (</w:t>
      </w:r>
      <w:r>
        <w:rPr>
          <w:rFonts w:ascii="Consolas" w:hAnsi="Consolas"/>
          <w:sz w:val="19"/>
        </w:rPr>
        <w:t>10_...</w:t>
      </w:r>
      <w:r>
        <w:rPr>
          <w:rFonts w:ascii="Arial" w:hAnsi="Arial"/>
          <w:sz w:val="21"/>
        </w:rPr>
        <w:t>).</w:t>
      </w:r>
    </w:p>
    <w:p>
      <w:pPr>
        <w:spacing w:after="40"/>
        <w:ind w:left="403"/>
      </w:pPr>
      <w:r>
        <w:rPr>
          <w:rFonts w:ascii="Arial" w:hAnsi="Arial"/>
          <w:b/>
          <w:color w:val="2A9D8F"/>
          <w:sz w:val="21"/>
        </w:rPr>
        <w:t xml:space="preserve">•  </w:t>
      </w:r>
      <w:r>
        <w:rPr>
          <w:rFonts w:ascii="Arial" w:hAnsi="Arial"/>
          <w:sz w:val="21"/>
        </w:rPr>
        <w:t xml:space="preserve">Retain the fuller </w:t>
      </w:r>
      <w:r>
        <w:rPr>
          <w:rFonts w:ascii="Consolas" w:hAnsi="Consolas"/>
          <w:sz w:val="19"/>
        </w:rPr>
        <w:t>09_...</w:t>
      </w:r>
      <w:r>
        <w:rPr>
          <w:rFonts w:ascii="Arial" w:hAnsi="Arial"/>
          <w:sz w:val="21"/>
        </w:rPr>
        <w:t xml:space="preserve"> draft — it becomes the ToS baseline when the student-data products launch (Phase 2).</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