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12" w:space="4" w:color="2A9D8F"/>
        </w:pBdr>
      </w:pPr>
      <w:r>
        <w:rPr>
          <w:rFonts w:ascii="Arial" w:hAnsi="Arial"/>
          <w:b/>
          <w:color w:val="1E3A5F"/>
          <w:sz w:val="34"/>
        </w:rPr>
        <w:t>Cohort Logic — Data Retention &amp; Deletion Policy</w:t>
      </w:r>
    </w:p>
    <w:p>
      <w:pPr>
        <w:spacing w:after="120"/>
      </w:pPr>
      <w:r>
        <w:rPr>
          <w:rFonts w:ascii="Arial" w:hAnsi="Arial"/>
          <w:b/>
          <w:sz w:val="21"/>
        </w:rPr>
        <w:t>Tracker item:</w:t>
      </w:r>
      <w:r>
        <w:rPr>
          <w:rFonts w:ascii="Arial" w:hAnsi="Arial"/>
          <w:sz w:val="21"/>
        </w:rPr>
        <w:t xml:space="preserve"> FE-07</w:t>
      </w:r>
    </w:p>
    <w:p>
      <w:pPr>
        <w:spacing w:after="120"/>
      </w:pPr>
      <w:r>
        <w:rPr>
          <w:rFonts w:ascii="Arial" w:hAnsi="Arial"/>
          <w:b/>
          <w:sz w:val="21"/>
        </w:rPr>
        <w:t>Owner:</w:t>
      </w:r>
      <w:r>
        <w:rPr>
          <w:rFonts w:ascii="Arial" w:hAnsi="Arial"/>
          <w:sz w:val="21"/>
        </w:rPr>
        <w:t xml:space="preserve"> Michael Fletcher (Cohort Logic)</w:t>
      </w:r>
    </w:p>
    <w:p>
      <w:pPr>
        <w:spacing w:after="120"/>
      </w:pPr>
      <w:r>
        <w:rPr>
          <w:rFonts w:ascii="Arial" w:hAnsi="Arial"/>
          <w:b/>
          <w:sz w:val="21"/>
        </w:rPr>
        <w:t>Status:</w:t>
      </w:r>
      <w:r>
        <w:rPr>
          <w:rFonts w:ascii="Arial" w:hAnsi="Arial"/>
          <w:sz w:val="21"/>
        </w:rPr>
        <w:t xml:space="preserve"> DRAFT — business decisions marked </w:t>
      </w:r>
      <w:r>
        <w:rPr>
          <w:rFonts w:ascii="Consolas" w:hAnsi="Consolas"/>
          <w:sz w:val="19"/>
        </w:rPr>
        <w:t>[DECIDE]</w:t>
      </w:r>
      <w:r>
        <w:rPr>
          <w:rFonts w:ascii="Arial" w:hAnsi="Arial"/>
          <w:sz w:val="21"/>
        </w:rPr>
        <w:t xml:space="preserve"> must be set before this is published or attached to a contract</w:t>
      </w:r>
    </w:p>
    <w:p>
      <w:pPr>
        <w:spacing w:after="120"/>
      </w:pPr>
      <w:r>
        <w:rPr>
          <w:rFonts w:ascii="Arial" w:hAnsi="Arial"/>
          <w:b/>
          <w:sz w:val="21"/>
        </w:rPr>
        <w:t>Last updated:</w:t>
      </w:r>
      <w:r>
        <w:rPr>
          <w:rFonts w:ascii="Arial" w:hAnsi="Arial"/>
          <w:sz w:val="21"/>
        </w:rPr>
        <w:t xml:space="preserve"> 2026-07-21 (by Claude)</w:t>
      </w:r>
    </w:p>
    <w:p>
      <w:pPr>
        <w:spacing w:after="120"/>
      </w:pPr>
      <w:r>
        <w:rPr>
          <w:rFonts w:ascii="Arial" w:hAnsi="Arial"/>
          <w:b/>
          <w:sz w:val="21"/>
        </w:rPr>
        <w:t>Review needed:</w:t>
      </w:r>
      <w:r>
        <w:rPr>
          <w:rFonts w:ascii="Arial" w:hAnsi="Arial"/>
          <w:sz w:val="21"/>
        </w:rPr>
        <w:t xml:space="preserve"> Set the </w:t>
      </w:r>
      <w:r>
        <w:rPr>
          <w:rFonts w:ascii="Consolas" w:hAnsi="Consolas"/>
          <w:sz w:val="19"/>
        </w:rPr>
        <w:t>[DECIDE]</w:t>
      </w:r>
      <w:r>
        <w:rPr>
          <w:rFonts w:ascii="Arial" w:hAnsi="Arial"/>
          <w:sz w:val="21"/>
        </w:rPr>
        <w:t xml:space="preserve"> retention windows; verify the deletion mechanics against the live schema; attorney review before contractual use.</w:t>
      </w:r>
    </w:p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color w:val="555F6A"/>
          <w:sz w:val="20"/>
        </w:rPr>
        <w:t>Districts (and NY Ed Law 2-d, IL SOPPA, and the SDPC NDPA) require a stated retention schedule and a deletion-on-termination commitment. This policy is also what a parent/student data-deletion request is measured against.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1. Principles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b/>
          <w:sz w:val="21"/>
        </w:rPr>
        <w:t>The school owns the data.</w:t>
      </w:r>
      <w:r>
        <w:rPr>
          <w:rFonts w:ascii="Arial" w:hAnsi="Arial"/>
          <w:sz w:val="21"/>
        </w:rPr>
        <w:t xml:space="preserve"> Cohort Logic holds student education records only to provide the service, and only for as long as the school's contract is active (plus a short, defined wind-down).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b/>
          <w:sz w:val="21"/>
        </w:rPr>
        <w:t>Data minimization + purpose limitation.</w:t>
      </w:r>
      <w:r>
        <w:rPr>
          <w:rFonts w:ascii="Arial" w:hAnsi="Arial"/>
          <w:sz w:val="21"/>
        </w:rPr>
        <w:t xml:space="preserve"> We keep only what a product needs, for only as long as it is needed.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b/>
          <w:sz w:val="21"/>
        </w:rPr>
        <w:t>Deletion is real and verifiable.</w:t>
      </w:r>
      <w:r>
        <w:rPr>
          <w:rFonts w:ascii="Arial" w:hAnsi="Arial"/>
          <w:sz w:val="21"/>
        </w:rPr>
        <w:t xml:space="preserve"> On request or termination, data is deleted from the primary database and aged out of backups within the backup cycle — not merely hidden.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b/>
          <w:sz w:val="21"/>
        </w:rPr>
        <w:t>No secondary use.</w:t>
      </w:r>
      <w:r>
        <w:rPr>
          <w:rFonts w:ascii="Arial" w:hAnsi="Arial"/>
          <w:sz w:val="21"/>
        </w:rPr>
        <w:t xml:space="preserve"> Retained data is never used for advertising, resale, model training, or any purpose beyond delivering the service to that school.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2. Retention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Data category</w:t>
            </w:r>
          </w:p>
        </w:tc>
        <w:tc>
          <w:tcPr>
            <w:tcW w:type="dxa" w:w="1872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Store</w:t>
            </w:r>
          </w:p>
        </w:tc>
        <w:tc>
          <w:tcPr>
            <w:tcW w:type="dxa" w:w="1872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Retention while active</w:t>
            </w:r>
          </w:p>
        </w:tc>
        <w:tc>
          <w:tcPr>
            <w:tcW w:type="dxa" w:w="1872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On school termination</w:t>
            </w:r>
          </w:p>
        </w:tc>
        <w:tc>
          <w:tcPr>
            <w:tcW w:type="dxa" w:w="1872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Student roster &amp; records (</w:t>
            </w:r>
            <w:r>
              <w:rPr>
                <w:rFonts w:ascii="Consolas" w:hAnsi="Consolas"/>
                <w:sz w:val="16"/>
              </w:rPr>
              <w:t>students</w:t>
            </w:r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cico_*</w:t>
            </w:r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referral_referrals</w:t>
            </w:r>
            <w:r>
              <w:rPr>
                <w:rFonts w:ascii="Arial" w:hAnsi="Arial"/>
                <w:sz w:val="18"/>
              </w:rPr>
              <w:t>)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Supabase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Duration of contract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Deleted within </w:t>
            </w:r>
            <w:r>
              <w:rPr>
                <w:rFonts w:ascii="Arial" w:hAnsi="Arial"/>
                <w:b/>
                <w:sz w:val="18"/>
              </w:rPr>
              <w:t>[DECIDE: e.g., 30] days</w:t>
            </w:r>
            <w:r>
              <w:rPr>
                <w:rFonts w:ascii="Arial" w:hAnsi="Arial"/>
                <w:sz w:val="18"/>
              </w:rPr>
              <w:t xml:space="preserve"> of termination (or returned first if the school requests export)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Core education records</w:t>
            </w:r>
          </w:p>
        </w:tc>
      </w:tr>
      <w:tr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Audit trail (</w:t>
            </w:r>
            <w:r>
              <w:rPr>
                <w:rFonts w:ascii="Consolas" w:hAnsi="Consolas"/>
                <w:sz w:val="16"/>
              </w:rPr>
              <w:t>audit_log</w:t>
            </w:r>
            <w:r>
              <w:rPr>
                <w:rFonts w:ascii="Arial" w:hAnsi="Arial"/>
                <w:sz w:val="18"/>
              </w:rPr>
              <w:t>)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Supabase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[DECIDE: e.g., 1–3 years]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Deleted with the school's data, or retained as de-identified counts only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May embed student data — treat as an education record</w:t>
            </w:r>
          </w:p>
        </w:tc>
      </w:tr>
      <w:tr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Staff/user accounts (</w:t>
            </w:r>
            <w:r>
              <w:rPr>
                <w:rFonts w:ascii="Consolas" w:hAnsi="Consolas"/>
                <w:sz w:val="16"/>
              </w:rPr>
              <w:t>profiles</w:t>
            </w:r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auth.users</w:t>
            </w:r>
            <w:r>
              <w:rPr>
                <w:rFonts w:ascii="Arial" w:hAnsi="Arial"/>
                <w:sz w:val="18"/>
              </w:rPr>
              <w:t>)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Supabase Auth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Duration of relationship; deactivated accounts </w:t>
            </w:r>
            <w:r>
              <w:rPr>
                <w:rFonts w:ascii="Consolas" w:hAnsi="Consolas"/>
                <w:sz w:val="16"/>
              </w:rPr>
              <w:t>[DECIDE]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Deleted/anonymized within </w:t>
            </w:r>
            <w:r>
              <w:rPr>
                <w:rFonts w:ascii="Arial" w:hAnsi="Arial"/>
                <w:b/>
                <w:sz w:val="18"/>
              </w:rPr>
              <w:t>[DECIDE] days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</w:p>
        </w:tc>
      </w:tr>
      <w:tr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Feedback (</w:t>
            </w:r>
            <w:r>
              <w:rPr>
                <w:rFonts w:ascii="Consolas" w:hAnsi="Consolas"/>
                <w:sz w:val="16"/>
              </w:rPr>
              <w:t>feedback</w:t>
            </w:r>
            <w:r>
              <w:rPr>
                <w:rFonts w:ascii="Arial" w:hAnsi="Arial"/>
                <w:sz w:val="18"/>
              </w:rPr>
              <w:t>)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Supabase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[DECIDE: e.g., 2 years]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N/A (not school-scoped student data)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Contains submitter name/email</w:t>
            </w:r>
          </w:p>
        </w:tc>
      </w:tr>
      <w:tr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Marketing (</w:t>
            </w:r>
            <w:r>
              <w:rPr>
                <w:rFonts w:ascii="Consolas" w:hAnsi="Consolas"/>
                <w:sz w:val="16"/>
              </w:rPr>
              <w:t>contact_submissions</w:t>
            </w:r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newsletter_subscribers</w:t>
            </w:r>
            <w:r>
              <w:rPr>
                <w:rFonts w:ascii="Arial" w:hAnsi="Arial"/>
                <w:sz w:val="18"/>
              </w:rPr>
              <w:t>)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Supabase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Until unsubscribe / </w:t>
            </w:r>
            <w:r>
              <w:rPr>
                <w:rFonts w:ascii="Consolas" w:hAnsi="Consolas"/>
                <w:sz w:val="16"/>
              </w:rPr>
              <w:t>[DECIDE]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Honor opt-out</w:t>
            </w:r>
          </w:p>
        </w:tc>
      </w:tr>
      <w:tr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Error logs (</w:t>
            </w:r>
            <w:r>
              <w:rPr>
                <w:rFonts w:ascii="Consolas" w:hAnsi="Consolas"/>
                <w:sz w:val="16"/>
              </w:rPr>
              <w:t>error_logs</w:t>
            </w:r>
            <w:r>
              <w:rPr>
                <w:rFonts w:ascii="Arial" w:hAnsi="Arial"/>
                <w:sz w:val="18"/>
              </w:rPr>
              <w:t>)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Supabase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[DECIDE: e.g., 90 days]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Should contain no student PII</w:t>
            </w:r>
          </w:p>
        </w:tc>
      </w:tr>
      <w:tr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Anonymous analytics (</w:t>
            </w:r>
            <w:r>
              <w:rPr>
                <w:rFonts w:ascii="Consolas" w:hAnsi="Consolas"/>
                <w:sz w:val="16"/>
              </w:rPr>
              <w:t>sessions</w:t>
            </w:r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events</w:t>
            </w:r>
            <w:r>
              <w:rPr>
                <w:rFonts w:ascii="Arial" w:hAnsi="Arial"/>
                <w:sz w:val="18"/>
              </w:rPr>
              <w:t>)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Supabase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[DECIDE]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Anonymous; no student records</w:t>
            </w:r>
          </w:p>
        </w:tc>
      </w:tr>
      <w:tr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Database backups / PITR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Supabase (AWS)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[CONFIRM: Supabase Pro PITR window, e.g., 7 days]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Aged out within the backup window after primary deletion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See §4</w:t>
            </w:r>
          </w:p>
        </w:tc>
      </w:tr>
      <w:tr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Client-side data (Class Builder rosters, Schedule Builder files)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User device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Controlled by the user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User deletes their own files</w:t>
            </w:r>
          </w:p>
        </w:tc>
        <w:tc>
          <w:tcPr>
            <w:tcW w:type="dxa" w:w="1872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Never transmitted to Cohort Logic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3. Deletion mechanisms (current + gaps)</w:t>
      </w:r>
    </w:p>
    <w:p>
      <w:pPr>
        <w:spacing w:after="120"/>
      </w:pPr>
      <w:r>
        <w:rPr>
          <w:rFonts w:ascii="Arial" w:hAnsi="Arial"/>
          <w:b/>
          <w:sz w:val="21"/>
        </w:rPr>
        <w:t>What exists today: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Per-school wipe.</w:t>
      </w:r>
      <w:r>
        <w:rPr>
          <w:rFonts w:ascii="Arial" w:hAnsi="Arial"/>
          <w:sz w:val="21"/>
        </w:rPr>
        <w:t xml:space="preserve"> The super-admin panel's </w:t>
      </w:r>
      <w:r>
        <w:rPr>
          <w:rFonts w:ascii="Consolas" w:hAnsi="Consolas"/>
          <w:sz w:val="19"/>
        </w:rPr>
        <w:t>wipeSchoolData()</w:t>
      </w:r>
      <w:r>
        <w:rPr>
          <w:rFonts w:ascii="Arial" w:hAnsi="Arial"/>
          <w:sz w:val="21"/>
        </w:rPr>
        <w:t xml:space="preserve"> performs a </w:t>
      </w:r>
      <w:r>
        <w:rPr>
          <w:rFonts w:ascii="Arial" w:hAnsi="Arial"/>
          <w:b/>
          <w:sz w:val="21"/>
        </w:rPr>
        <w:t>full</w:t>
      </w:r>
      <w:r>
        <w:rPr>
          <w:rFonts w:ascii="Arial" w:hAnsi="Arial"/>
          <w:sz w:val="21"/>
        </w:rPr>
        <w:t xml:space="preserve"> deletion of a school's student data in foreign-key-safe order — the CICO check-in tree, </w:t>
      </w:r>
      <w:r>
        <w:rPr>
          <w:rFonts w:ascii="Arial" w:hAnsi="Arial"/>
          <w:b/>
          <w:sz w:val="21"/>
        </w:rPr>
        <w:t>all referral records</w:t>
      </w:r>
      <w:r>
        <w:rPr>
          <w:rFonts w:ascii="Arial" w:hAnsi="Arial"/>
          <w:sz w:val="21"/>
        </w:rPr>
        <w:t xml:space="preserve">, the referral config, </w:t>
      </w:r>
      <w:r>
        <w:rPr>
          <w:rFonts w:ascii="Arial" w:hAnsi="Arial"/>
          <w:b/>
          <w:sz w:val="21"/>
        </w:rPr>
        <w:t>and the shared `students` roster</w:t>
      </w:r>
      <w:r>
        <w:rPr>
          <w:rFonts w:ascii="Arial" w:hAnsi="Arial"/>
          <w:sz w:val="21"/>
        </w:rPr>
        <w:t xml:space="preserve"> (including demographics). Fixed 2026-07-21 (</w:t>
      </w:r>
      <w:r>
        <w:rPr>
          <w:rFonts w:ascii="Consolas" w:hAnsi="Consolas"/>
          <w:sz w:val="19"/>
        </w:rPr>
        <w:t>public/admin/admin.js</w:t>
      </w:r>
      <w:r>
        <w:rPr>
          <w:rFonts w:ascii="Arial" w:hAnsi="Arial"/>
          <w:sz w:val="21"/>
        </w:rPr>
        <w:t>); previously it cleared only the CICO check-in tables and left the roster + referrals behind.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Account deactivation</w:t>
      </w:r>
      <w:r>
        <w:rPr>
          <w:rFonts w:ascii="Arial" w:hAnsi="Arial"/>
          <w:sz w:val="21"/>
        </w:rPr>
        <w:t xml:space="preserve"> (</w:t>
      </w:r>
      <w:r>
        <w:rPr>
          <w:rFonts w:ascii="Consolas" w:hAnsi="Consolas"/>
          <w:sz w:val="19"/>
        </w:rPr>
        <w:t>approved = false</w:t>
      </w:r>
      <w:r>
        <w:rPr>
          <w:rFonts w:ascii="Arial" w:hAnsi="Arial"/>
          <w:sz w:val="21"/>
        </w:rPr>
        <w:t>) and removal via the admin/school-admin RPCs.</w:t>
      </w:r>
    </w:p>
    <w:p>
      <w:pPr>
        <w:spacing w:after="120"/>
      </w:pPr>
      <w:r>
        <w:rPr>
          <w:rFonts w:ascii="Arial" w:hAnsi="Arial"/>
          <w:b/>
          <w:sz w:val="21"/>
        </w:rPr>
        <w:t>Confirmed finding &amp; the remaining gap: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✅ </w:t>
      </w:r>
      <w:r>
        <w:rPr>
          <w:rFonts w:ascii="Arial" w:hAnsi="Arial"/>
          <w:b/>
          <w:sz w:val="21"/>
        </w:rPr>
        <w:t>RESOLVED (2026-07-21):</w:t>
      </w:r>
      <w:r>
        <w:rPr>
          <w:rFonts w:ascii="Arial" w:hAnsi="Arial"/>
          <w:sz w:val="21"/>
        </w:rPr>
        <w:t xml:space="preserve"> the wipe now covers the roster + CICO + referrals + referral config, in FK-safe order (referrals before roster, since </w:t>
      </w:r>
      <w:r>
        <w:rPr>
          <w:rFonts w:ascii="Consolas" w:hAnsi="Consolas"/>
          <w:sz w:val="19"/>
        </w:rPr>
        <w:t>referral_referrals.student_id</w:t>
      </w:r>
      <w:r>
        <w:rPr>
          <w:rFonts w:ascii="Arial" w:hAnsi="Arial"/>
          <w:sz w:val="21"/>
        </w:rPr>
        <w:t xml:space="preserve"> is </w:t>
      </w:r>
      <w:r>
        <w:rPr>
          <w:rFonts w:ascii="Consolas" w:hAnsi="Consolas"/>
          <w:sz w:val="19"/>
        </w:rPr>
        <w:t>ON DELETE RESTRICT</w:t>
      </w:r>
      <w:r>
        <w:rPr>
          <w:rFonts w:ascii="Arial" w:hAnsi="Arial"/>
          <w:sz w:val="21"/>
        </w:rPr>
        <w:t>).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⚠️ </w:t>
      </w:r>
      <w:r>
        <w:rPr>
          <w:rFonts w:ascii="Arial" w:hAnsi="Arial"/>
          <w:b/>
          <w:sz w:val="21"/>
        </w:rPr>
        <w:t>`audit_log` is intentionally NOT purged by the wipe.</w:t>
      </w:r>
      <w:r>
        <w:rPr>
          <w:rFonts w:ascii="Arial" w:hAnsi="Arial"/>
          <w:sz w:val="21"/>
        </w:rPr>
        <w:t xml:space="preserve"> It has </w:t>
      </w:r>
      <w:r>
        <w:rPr>
          <w:rFonts w:ascii="Arial" w:hAnsi="Arial"/>
          <w:b/>
          <w:sz w:val="21"/>
        </w:rPr>
        <w:t>no `school_id` column</w:t>
      </w:r>
      <w:r>
        <w:rPr>
          <w:rFonts w:ascii="Arial" w:hAnsi="Arial"/>
          <w:sz w:val="21"/>
        </w:rPr>
        <w:t xml:space="preserve">, so it cannot be filtered per school without a targeted </w:t>
      </w:r>
      <w:r>
        <w:rPr>
          <w:rFonts w:ascii="Consolas" w:hAnsi="Consolas"/>
          <w:sz w:val="19"/>
        </w:rPr>
        <w:t>record_id</w:t>
      </w:r>
      <w:r>
        <w:rPr>
          <w:rFonts w:ascii="Arial" w:hAnsi="Arial"/>
          <w:sz w:val="21"/>
        </w:rPr>
        <w:t xml:space="preserve"> sweep, and a blanket delete would destroy every school's trail. Its </w:t>
      </w:r>
      <w:r>
        <w:rPr>
          <w:rFonts w:ascii="Consolas" w:hAnsi="Consolas"/>
          <w:sz w:val="19"/>
        </w:rPr>
        <w:t>old_data</w:t>
      </w:r>
      <w:r>
        <w:rPr>
          <w:rFonts w:ascii="Arial" w:hAnsi="Arial"/>
          <w:sz w:val="21"/>
        </w:rPr>
        <w:t>/</w:t>
      </w:r>
      <w:r>
        <w:rPr>
          <w:rFonts w:ascii="Consolas" w:hAnsi="Consolas"/>
          <w:sz w:val="19"/>
        </w:rPr>
        <w:t>new_data</w:t>
      </w:r>
      <w:r>
        <w:rPr>
          <w:rFonts w:ascii="Arial" w:hAnsi="Arial"/>
          <w:sz w:val="21"/>
        </w:rPr>
        <w:t xml:space="preserve"> snapshots can embed student rows. Deciding how to purge/anonymize the audit log on </w:t>
      </w:r>
      <w:r>
        <w:rPr>
          <w:rFonts w:ascii="Arial" w:hAnsi="Arial"/>
          <w:b/>
          <w:sz w:val="21"/>
        </w:rPr>
        <w:t>full offboarding</w:t>
      </w:r>
      <w:r>
        <w:rPr>
          <w:rFonts w:ascii="Arial" w:hAnsi="Arial"/>
          <w:sz w:val="21"/>
        </w:rPr>
        <w:t xml:space="preserve"> (e.g., add </w:t>
      </w:r>
      <w:r>
        <w:rPr>
          <w:rFonts w:ascii="Consolas" w:hAnsi="Consolas"/>
          <w:sz w:val="19"/>
        </w:rPr>
        <w:t>school_id</w:t>
      </w:r>
      <w:r>
        <w:rPr>
          <w:rFonts w:ascii="Arial" w:hAnsi="Arial"/>
          <w:sz w:val="21"/>
        </w:rPr>
        <w:t xml:space="preserve">, or sweep by record_id) is a </w:t>
      </w:r>
      <w:r>
        <w:rPr>
          <w:rFonts w:ascii="Arial" w:hAnsi="Arial"/>
          <w:b/>
          <w:sz w:val="21"/>
        </w:rPr>
        <w:t>Phase-2</w:t>
      </w:r>
      <w:r>
        <w:rPr>
          <w:rFonts w:ascii="Arial" w:hAnsi="Arial"/>
          <w:sz w:val="21"/>
        </w:rPr>
        <w:t xml:space="preserve"> item — tracker </w:t>
      </w:r>
      <w:r>
        <w:rPr>
          <w:rFonts w:ascii="Arial" w:hAnsi="Arial"/>
          <w:b/>
          <w:sz w:val="21"/>
        </w:rPr>
        <w:t>FE-15</w:t>
      </w:r>
      <w:r>
        <w:rPr>
          <w:rFonts w:ascii="Arial" w:hAnsi="Arial"/>
          <w:sz w:val="21"/>
        </w:rPr>
        <w:t>.</w:t>
      </w:r>
    </w:p>
    <w:p>
      <w:pPr>
        <w:spacing w:after="120"/>
      </w:pPr>
      <w:r>
        <w:rPr>
          <w:rFonts w:ascii="Arial" w:hAnsi="Arial"/>
          <w:b/>
          <w:sz w:val="21"/>
        </w:rPr>
        <w:t>Still to build (feed the tracker):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[BUILD]</w:t>
      </w:r>
      <w:r>
        <w:rPr>
          <w:rFonts w:ascii="Arial" w:hAnsi="Arial"/>
          <w:sz w:val="21"/>
        </w:rPr>
        <w:t xml:space="preserve"> A documented, repeatable </w:t>
      </w:r>
      <w:r>
        <w:rPr>
          <w:rFonts w:ascii="Arial" w:hAnsi="Arial"/>
          <w:b/>
          <w:sz w:val="21"/>
        </w:rPr>
        <w:t>offboarding SOP</w:t>
      </w:r>
      <w:r>
        <w:rPr>
          <w:rFonts w:ascii="Arial" w:hAnsi="Arial"/>
          <w:sz w:val="21"/>
        </w:rPr>
        <w:t>: export offer → confirm → wipe → audit-log handling → confirm backup aging → issue a deletion certificate to the school.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[BUILD]</w:t>
      </w:r>
      <w:r>
        <w:rPr>
          <w:rFonts w:ascii="Arial" w:hAnsi="Arial"/>
          <w:sz w:val="21"/>
        </w:rPr>
        <w:t xml:space="preserve"> A </w:t>
      </w:r>
      <w:r>
        <w:rPr>
          <w:rFonts w:ascii="Arial" w:hAnsi="Arial"/>
          <w:b/>
          <w:sz w:val="21"/>
        </w:rPr>
        <w:t>deletion-request intake</w:t>
      </w:r>
      <w:r>
        <w:rPr>
          <w:rFonts w:ascii="Arial" w:hAnsi="Arial"/>
          <w:sz w:val="21"/>
        </w:rPr>
        <w:t xml:space="preserve"> path (parent/student requests routed through the school; see §5).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4. Backups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Student data persists in automated backups after primary deletion until the backup retention window rolls over.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Commitment:</w:t>
      </w:r>
      <w:r>
        <w:rPr>
          <w:rFonts w:ascii="Arial" w:hAnsi="Arial"/>
          <w:sz w:val="21"/>
        </w:rPr>
        <w:t xml:space="preserve"> deleted data will not be restored into production except as part of a bona fide disaster recovery, and will age out of backups within </w:t>
      </w:r>
      <w:r>
        <w:rPr>
          <w:rFonts w:ascii="Arial" w:hAnsi="Arial"/>
          <w:b/>
          <w:sz w:val="21"/>
        </w:rPr>
        <w:t>[CONFIRM: PITR/backup window]</w:t>
      </w:r>
      <w:r>
        <w:rPr>
          <w:rFonts w:ascii="Arial" w:hAnsi="Arial"/>
          <w:sz w:val="21"/>
        </w:rPr>
        <w:t xml:space="preserve"> days.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Dependency:</w:t>
      </w:r>
      <w:r>
        <w:rPr>
          <w:rFonts w:ascii="Arial" w:hAnsi="Arial"/>
          <w:sz w:val="21"/>
        </w:rPr>
        <w:t xml:space="preserve"> requires Supabase </w:t>
      </w:r>
      <w:r>
        <w:rPr>
          <w:rFonts w:ascii="Arial" w:hAnsi="Arial"/>
          <w:b/>
          <w:sz w:val="21"/>
        </w:rPr>
        <w:t>Pro</w:t>
      </w:r>
      <w:r>
        <w:rPr>
          <w:rFonts w:ascii="Arial" w:hAnsi="Arial"/>
          <w:sz w:val="21"/>
        </w:rPr>
        <w:t xml:space="preserve"> (SE-07) for Point-in-Time Recovery and a defined backup retention window; document RPO/RTO (SE-08).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5. Individual rights (access, correction, deletion)</w:t>
      </w:r>
    </w:p>
    <w:p>
      <w:pPr>
        <w:spacing w:after="120"/>
      </w:pPr>
      <w:r>
        <w:rPr>
          <w:rFonts w:ascii="Arial" w:hAnsi="Arial"/>
          <w:sz w:val="21"/>
        </w:rPr>
        <w:t xml:space="preserve">Under FERPA, parents/eligible students exercise access and amendment rights </w:t>
      </w:r>
      <w:r>
        <w:rPr>
          <w:rFonts w:ascii="Arial" w:hAnsi="Arial"/>
          <w:b/>
          <w:sz w:val="21"/>
        </w:rPr>
        <w:t>through the school</w:t>
      </w:r>
      <w:r>
        <w:rPr>
          <w:rFonts w:ascii="Arial" w:hAnsi="Arial"/>
          <w:sz w:val="21"/>
        </w:rPr>
        <w:t xml:space="preserve">, not directly with the vendor. Cohort Logic's obligation is to </w:t>
      </w:r>
      <w:r>
        <w:rPr>
          <w:rFonts w:ascii="Arial" w:hAnsi="Arial"/>
          <w:b/>
          <w:sz w:val="21"/>
        </w:rPr>
        <w:t>support the school</w:t>
      </w:r>
      <w:r>
        <w:rPr>
          <w:rFonts w:ascii="Arial" w:hAnsi="Arial"/>
          <w:sz w:val="21"/>
        </w:rPr>
        <w:t xml:space="preserve"> promptly: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sz w:val="21"/>
        </w:rPr>
        <w:t>School submits a verified access/correction/deletion request on behalf of a parent/student.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sz w:val="21"/>
        </w:rPr>
        <w:t xml:space="preserve">Cohort Logic fulfills within </w:t>
      </w:r>
      <w:r>
        <w:rPr>
          <w:rFonts w:ascii="Arial" w:hAnsi="Arial"/>
          <w:b/>
          <w:sz w:val="21"/>
        </w:rPr>
        <w:t>[DECIDE: e.g., 15 business days]</w:t>
      </w:r>
      <w:r>
        <w:rPr>
          <w:rFonts w:ascii="Arial" w:hAnsi="Arial"/>
          <w:sz w:val="21"/>
        </w:rPr>
        <w:t xml:space="preserve"> (align with any stricter contract/state term).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sz w:val="21"/>
        </w:rPr>
        <w:t xml:space="preserve">Action is logged in </w:t>
      </w:r>
      <w:r>
        <w:rPr>
          <w:rFonts w:ascii="Consolas" w:hAnsi="Consolas"/>
          <w:sz w:val="19"/>
        </w:rPr>
        <w:t>audit_log</w:t>
      </w:r>
      <w:r>
        <w:rPr>
          <w:rFonts w:ascii="Arial" w:hAnsi="Arial"/>
          <w:sz w:val="21"/>
        </w:rPr>
        <w:t>; a confirmation is returned to the school.</w:t>
      </w:r>
    </w:p>
    <w:p>
      <w:pPr>
        <w:spacing w:after="120"/>
      </w:pPr>
      <w:r>
        <w:rPr>
          <w:rFonts w:ascii="Arial" w:hAnsi="Arial"/>
          <w:sz w:val="21"/>
        </w:rPr>
        <w:t>(See FE-13 for the request runbook.)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6. Review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This policy is reviewed at least annually and whenever the data model or sub-processors change.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Retention windows and the deletion SOP are referenced by the DPA/NDPA and the Trust page.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