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/>
        <w:pBdr>
          <w:bottom w:val="single" w:sz="12" w:space="4" w:color="2A9D8F"/>
        </w:pBdr>
      </w:pPr>
      <w:r>
        <w:rPr>
          <w:rFonts w:ascii="Arial" w:hAnsi="Arial"/>
          <w:b/>
          <w:color w:val="1E3A5F"/>
          <w:sz w:val="34"/>
        </w:rPr>
        <w:t>Cohort Logic — Data Retention &amp; Deletion Policy</w:t>
      </w:r>
    </w:p>
    <w:p>
      <w:pPr>
        <w:spacing w:after="120"/>
      </w:pPr>
      <w:r>
        <w:rPr>
          <w:rFonts w:ascii="Arial" w:hAnsi="Arial"/>
          <w:b/>
          <w:sz w:val="21"/>
        </w:rPr>
        <w:t>Tracker item:</w:t>
      </w:r>
      <w:r>
        <w:rPr>
          <w:rFonts w:ascii="Arial" w:hAnsi="Arial"/>
          <w:sz w:val="21"/>
        </w:rPr>
        <w:t xml:space="preserve"> FE-07</w:t>
      </w:r>
    </w:p>
    <w:p>
      <w:pPr>
        <w:spacing w:after="120"/>
      </w:pPr>
      <w:r>
        <w:rPr>
          <w:rFonts w:ascii="Arial" w:hAnsi="Arial"/>
          <w:b/>
          <w:sz w:val="21"/>
        </w:rPr>
        <w:t>Owner:</w:t>
      </w:r>
      <w:r>
        <w:rPr>
          <w:rFonts w:ascii="Arial" w:hAnsi="Arial"/>
          <w:sz w:val="21"/>
        </w:rPr>
        <w:t xml:space="preserve"> Michael Fletcher (Cohort Logic)</w:t>
      </w:r>
    </w:p>
    <w:p>
      <w:pPr>
        <w:spacing w:after="120"/>
      </w:pPr>
      <w:r>
        <w:rPr>
          <w:rFonts w:ascii="Arial" w:hAnsi="Arial"/>
          <w:b/>
          <w:sz w:val="21"/>
        </w:rPr>
        <w:t>Status:</w:t>
      </w:r>
      <w:r>
        <w:rPr>
          <w:rFonts w:ascii="Arial" w:hAnsi="Arial"/>
          <w:sz w:val="21"/>
        </w:rPr>
        <w:t xml:space="preserve"> DRAFT — business decisions marked </w:t>
      </w:r>
      <w:r>
        <w:rPr>
          <w:rFonts w:ascii="Consolas" w:hAnsi="Consolas"/>
          <w:sz w:val="19"/>
        </w:rPr>
        <w:t>[DECIDE]</w:t>
      </w:r>
      <w:r>
        <w:rPr>
          <w:rFonts w:ascii="Arial" w:hAnsi="Arial"/>
          <w:sz w:val="21"/>
        </w:rPr>
        <w:t xml:space="preserve"> must be set before this is published or attached to a contract</w:t>
      </w:r>
    </w:p>
    <w:p>
      <w:pPr>
        <w:spacing w:after="120"/>
      </w:pPr>
      <w:r>
        <w:rPr>
          <w:rFonts w:ascii="Arial" w:hAnsi="Arial"/>
          <w:b/>
          <w:sz w:val="21"/>
        </w:rPr>
        <w:t>Last updated:</w:t>
      </w:r>
      <w:r>
        <w:rPr>
          <w:rFonts w:ascii="Arial" w:hAnsi="Arial"/>
          <w:sz w:val="21"/>
        </w:rPr>
        <w:t xml:space="preserve"> 2026-07-21 (by Claude)</w:t>
      </w:r>
    </w:p>
    <w:p>
      <w:pPr>
        <w:spacing w:after="120"/>
      </w:pPr>
      <w:r>
        <w:rPr>
          <w:rFonts w:ascii="Arial" w:hAnsi="Arial"/>
          <w:b/>
          <w:sz w:val="21"/>
        </w:rPr>
        <w:t>Review needed:</w:t>
      </w:r>
      <w:r>
        <w:rPr>
          <w:rFonts w:ascii="Arial" w:hAnsi="Arial"/>
          <w:sz w:val="21"/>
        </w:rPr>
        <w:t xml:space="preserve"> Set the </w:t>
      </w:r>
      <w:r>
        <w:rPr>
          <w:rFonts w:ascii="Consolas" w:hAnsi="Consolas"/>
          <w:sz w:val="19"/>
        </w:rPr>
        <w:t>[DECIDE]</w:t>
      </w:r>
      <w:r>
        <w:rPr>
          <w:rFonts w:ascii="Arial" w:hAnsi="Arial"/>
          <w:sz w:val="21"/>
        </w:rPr>
        <w:t xml:space="preserve"> retention windows; verify the deletion mechanics against the live schema; attorney review before contractual use.</w:t>
      </w:r>
    </w:p>
    <w:p>
      <w:pPr>
        <w:spacing w:before="80" w:after="120"/>
        <w:ind w:left="288"/>
        <w:pBdr>
          <w:left w:val="single" w:sz="18" w:space="8" w:color="2A9D8F"/>
        </w:pBdr>
      </w:pPr>
      <w:r>
        <w:rPr>
          <w:rFonts w:ascii="Arial" w:hAnsi="Arial"/>
          <w:color w:val="555F6A"/>
          <w:sz w:val="20"/>
        </w:rPr>
        <w:t>Districts (and NY Ed Law 2-d, IL SOPPA, and the SDPC NDPA) require a stated retention schedule and a deletion-on-termination commitment. This policy is also what a parent/student data-deletion request is measured against.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1. Principles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b/>
          <w:sz w:val="21"/>
        </w:rPr>
        <w:t>The school owns the data.</w:t>
      </w:r>
      <w:r>
        <w:rPr>
          <w:rFonts w:ascii="Arial" w:hAnsi="Arial"/>
          <w:sz w:val="21"/>
        </w:rPr>
        <w:t xml:space="preserve"> Cohort Logic holds student education records only to provide the service, and only for as long as the school's contract is active (plus a short, defined wind-down).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b/>
          <w:sz w:val="21"/>
        </w:rPr>
        <w:t>Data minimization + purpose limitation.</w:t>
      </w:r>
      <w:r>
        <w:rPr>
          <w:rFonts w:ascii="Arial" w:hAnsi="Arial"/>
          <w:sz w:val="21"/>
        </w:rPr>
        <w:t xml:space="preserve"> We keep only what a product needs, for only as long as it is needed.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b/>
          <w:sz w:val="21"/>
        </w:rPr>
        <w:t>Deletion is real and verifiable.</w:t>
      </w:r>
      <w:r>
        <w:rPr>
          <w:rFonts w:ascii="Arial" w:hAnsi="Arial"/>
          <w:sz w:val="21"/>
        </w:rPr>
        <w:t xml:space="preserve"> On request or termination, data is deleted from the primary database and aged out of backups within the backup cycle — not merely hidden.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4. </w:t>
      </w:r>
      <w:r>
        <w:rPr>
          <w:rFonts w:ascii="Arial" w:hAnsi="Arial"/>
          <w:b/>
          <w:sz w:val="21"/>
        </w:rPr>
        <w:t>No secondary use.</w:t>
      </w:r>
      <w:r>
        <w:rPr>
          <w:rFonts w:ascii="Arial" w:hAnsi="Arial"/>
          <w:sz w:val="21"/>
        </w:rPr>
        <w:t xml:space="preserve"> Retained data is never used for advertising, resale, model training, or any purpose beyond delivering the service to that school.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2. Retention schedule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Data category</w:t>
            </w:r>
          </w:p>
        </w:tc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Store</w:t>
            </w:r>
          </w:p>
        </w:tc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Retention while active</w:t>
            </w:r>
          </w:p>
        </w:tc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On school termination</w:t>
            </w:r>
          </w:p>
        </w:tc>
        <w:tc>
          <w:tcPr>
            <w:tcW w:type="dxa" w:w="1872"/>
            <w:shd w:val="clear" w:color="auto" w:fill="1E3A5F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Student roster &amp; records (</w:t>
            </w:r>
            <w:r>
              <w:rPr>
                <w:rFonts w:ascii="Consolas" w:hAnsi="Consolas"/>
                <w:sz w:val="16"/>
              </w:rPr>
              <w:t>students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cico_*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referral_referrals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Duration of contract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Deleted within </w:t>
            </w:r>
            <w:r>
              <w:rPr>
                <w:rFonts w:ascii="Arial" w:hAnsi="Arial"/>
                <w:b/>
                <w:sz w:val="18"/>
              </w:rPr>
              <w:t>[DECIDE: e.g., 30] days</w:t>
            </w:r>
            <w:r>
              <w:rPr>
                <w:rFonts w:ascii="Arial" w:hAnsi="Arial"/>
                <w:sz w:val="18"/>
              </w:rPr>
              <w:t xml:space="preserve"> of termination (or returned first if the school requests export)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Core education records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Audit trail (</w:t>
            </w:r>
            <w:r>
              <w:rPr>
                <w:rFonts w:ascii="Consolas" w:hAnsi="Consolas"/>
                <w:sz w:val="16"/>
              </w:rPr>
              <w:t>audit_log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[DECIDE: e.g., 1–3 years]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Deleted with the school's data, or retained as de-identified counts only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May embed student data — treat as an education record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Staff/user accounts (</w:t>
            </w:r>
            <w:r>
              <w:rPr>
                <w:rFonts w:ascii="Consolas" w:hAnsi="Consolas"/>
                <w:sz w:val="16"/>
              </w:rPr>
              <w:t>profiles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auth.users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Auth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Duration of relationship; deactivated accounts </w:t>
            </w:r>
            <w:r>
              <w:rPr>
                <w:rFonts w:ascii="Consolas" w:hAnsi="Consolas"/>
                <w:sz w:val="16"/>
              </w:rPr>
              <w:t>[DECIDE]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Deleted/anonymized within </w:t>
            </w:r>
            <w:r>
              <w:rPr>
                <w:rFonts w:ascii="Arial" w:hAnsi="Arial"/>
                <w:b/>
                <w:sz w:val="18"/>
              </w:rPr>
              <w:t>[DECIDE] days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Feedback (</w:t>
            </w:r>
            <w:r>
              <w:rPr>
                <w:rFonts w:ascii="Consolas" w:hAnsi="Consolas"/>
                <w:sz w:val="16"/>
              </w:rPr>
              <w:t>feedback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[DECIDE: e.g., 2 years]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N/A (not school-scoped student data)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Contains submitter name/email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Marketing (</w:t>
            </w:r>
            <w:r>
              <w:rPr>
                <w:rFonts w:ascii="Consolas" w:hAnsi="Consolas"/>
                <w:sz w:val="16"/>
              </w:rPr>
              <w:t>contact_submissions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newsletter_subscribers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 xml:space="preserve">Until unsubscribe / </w:t>
            </w:r>
            <w:r>
              <w:rPr>
                <w:rFonts w:ascii="Consolas" w:hAnsi="Consolas"/>
                <w:sz w:val="16"/>
              </w:rPr>
              <w:t>[DECIDE]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N/A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Honor opt-out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Error logs (</w:t>
            </w:r>
            <w:r>
              <w:rPr>
                <w:rFonts w:ascii="Consolas" w:hAnsi="Consolas"/>
                <w:sz w:val="16"/>
              </w:rPr>
              <w:t>error_logs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[DECIDE: e.g., 90 days]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N/A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Should contain no student PII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Anonymous analytics (</w:t>
            </w:r>
            <w:r>
              <w:rPr>
                <w:rFonts w:ascii="Consolas" w:hAnsi="Consolas"/>
                <w:sz w:val="16"/>
              </w:rPr>
              <w:t>sessions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Consolas" w:hAnsi="Consolas"/>
                <w:sz w:val="16"/>
              </w:rPr>
              <w:t>events</w:t>
            </w:r>
            <w:r>
              <w:rPr>
                <w:rFonts w:ascii="Arial" w:hAnsi="Arial"/>
                <w:sz w:val="18"/>
              </w:rPr>
              <w:t>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[DECIDE]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N/A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Anonymous; no student records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Database backups / PITR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Supabase (AWS)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Consolas" w:hAnsi="Consolas"/>
                <w:sz w:val="16"/>
              </w:rPr>
              <w:t>[CONFIRM: Supabase Pro PITR window, e.g., 7 days]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Aged out within the backup window after primary deletion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  <w:shd w:val="clear" w:color="auto" w:fill="F4F6F8"/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See §4</w:t>
            </w:r>
          </w:p>
        </w:tc>
      </w:tr>
      <w:tr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Client-side data (Class Builder rosters, Schedule Builder files)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User device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Controlled by the user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User deletes their own files</w:t>
            </w:r>
          </w:p>
        </w:tc>
        <w:tc>
          <w:tcPr>
            <w:tcW w:type="dxa" w:w="1872"/>
            <w:tcBorders>
              <w:top w:val="single" w:sz="4" w:space="0" w:color="C9CED3"/>
              <w:left w:val="single" w:sz="4" w:space="0" w:color="C9CED3"/>
              <w:bottom w:val="single" w:sz="4" w:space="0" w:color="C9CED3"/>
              <w:right w:val="single" w:sz="4" w:space="0" w:color="C9CED3"/>
            </w:tcBorders>
          </w:tcPr>
          <w:p>
            <w:pPr>
              <w:spacing w:after="20"/>
            </w:pPr>
            <w:r>
              <w:rPr>
                <w:rFonts w:ascii="Arial" w:hAnsi="Arial"/>
                <w:sz w:val="18"/>
              </w:rPr>
              <w:t>Never transmitted to Cohort Logic</w:t>
            </w:r>
          </w:p>
        </w:tc>
      </w:tr>
    </w:tbl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3. Deletion mechanisms (current + gaps)</w:t>
      </w:r>
    </w:p>
    <w:p>
      <w:pPr>
        <w:spacing w:after="120"/>
      </w:pPr>
      <w:r>
        <w:rPr>
          <w:rFonts w:ascii="Arial" w:hAnsi="Arial"/>
          <w:b/>
          <w:sz w:val="21"/>
        </w:rPr>
        <w:t>What exists today: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Per-school wipe.</w:t>
      </w:r>
      <w:r>
        <w:rPr>
          <w:rFonts w:ascii="Arial" w:hAnsi="Arial"/>
          <w:sz w:val="21"/>
        </w:rPr>
        <w:t xml:space="preserve"> The super-admin panel's </w:t>
      </w:r>
      <w:r>
        <w:rPr>
          <w:rFonts w:ascii="Consolas" w:hAnsi="Consolas"/>
          <w:sz w:val="19"/>
        </w:rPr>
        <w:t>wipeSchoolData()</w:t>
      </w:r>
      <w:r>
        <w:rPr>
          <w:rFonts w:ascii="Arial" w:hAnsi="Arial"/>
          <w:sz w:val="21"/>
        </w:rPr>
        <w:t xml:space="preserve"> deletes a school's CICO data in safe FK order (child records before parents). This is the backbone of offboarding.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Account deactivation</w:t>
      </w:r>
      <w:r>
        <w:rPr>
          <w:rFonts w:ascii="Arial" w:hAnsi="Arial"/>
          <w:sz w:val="21"/>
        </w:rPr>
        <w:t xml:space="preserve"> (</w:t>
      </w:r>
      <w:r>
        <w:rPr>
          <w:rFonts w:ascii="Consolas" w:hAnsi="Consolas"/>
          <w:sz w:val="19"/>
        </w:rPr>
        <w:t>approved = false</w:t>
      </w:r>
      <w:r>
        <w:rPr>
          <w:rFonts w:ascii="Arial" w:hAnsi="Arial"/>
          <w:sz w:val="21"/>
        </w:rPr>
        <w:t>) and removal via the admin/school-admin RPCs.</w:t>
      </w:r>
    </w:p>
    <w:p>
      <w:pPr>
        <w:spacing w:after="120"/>
      </w:pPr>
      <w:r>
        <w:rPr>
          <w:rFonts w:ascii="Arial" w:hAnsi="Arial"/>
          <w:b/>
          <w:sz w:val="21"/>
        </w:rPr>
        <w:t>Gaps to close (feed the tracker):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[VERIFY]</w:t>
      </w:r>
      <w:r>
        <w:rPr>
          <w:rFonts w:ascii="Arial" w:hAnsi="Arial"/>
          <w:sz w:val="21"/>
        </w:rPr>
        <w:t xml:space="preserve"> Confirm the wipe covers </w:t>
      </w:r>
      <w:r>
        <w:rPr>
          <w:rFonts w:ascii="Arial" w:hAnsi="Arial"/>
          <w:b/>
          <w:sz w:val="21"/>
        </w:rPr>
        <w:t>every</w:t>
      </w:r>
      <w:r>
        <w:rPr>
          <w:rFonts w:ascii="Arial" w:hAnsi="Arial"/>
          <w:sz w:val="21"/>
        </w:rPr>
        <w:t xml:space="preserve"> student-data table for all products, including </w:t>
      </w:r>
      <w:r>
        <w:rPr>
          <w:rFonts w:ascii="Consolas" w:hAnsi="Consolas"/>
          <w:sz w:val="19"/>
        </w:rPr>
        <w:t>referral_referrals</w:t>
      </w:r>
      <w:r>
        <w:rPr>
          <w:rFonts w:ascii="Arial" w:hAnsi="Arial"/>
          <w:sz w:val="21"/>
        </w:rPr>
        <w:t xml:space="preserve"> + custom-field values and any </w:t>
      </w:r>
      <w:r>
        <w:rPr>
          <w:rFonts w:ascii="Consolas" w:hAnsi="Consolas"/>
          <w:sz w:val="19"/>
        </w:rPr>
        <w:t>audit_log</w:t>
      </w:r>
      <w:r>
        <w:rPr>
          <w:rFonts w:ascii="Arial" w:hAnsi="Arial"/>
          <w:sz w:val="21"/>
        </w:rPr>
        <w:t xml:space="preserve"> rows that embed student data. Extend </w:t>
      </w:r>
      <w:r>
        <w:rPr>
          <w:rFonts w:ascii="Consolas" w:hAnsi="Consolas"/>
          <w:sz w:val="19"/>
        </w:rPr>
        <w:t>wipeSchoolData()</w:t>
      </w:r>
      <w:r>
        <w:rPr>
          <w:rFonts w:ascii="Arial" w:hAnsi="Arial"/>
          <w:sz w:val="21"/>
        </w:rPr>
        <w:t xml:space="preserve"> if referral data is not yet included.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[BUILD]</w:t>
      </w:r>
      <w:r>
        <w:rPr>
          <w:rFonts w:ascii="Arial" w:hAnsi="Arial"/>
          <w:sz w:val="21"/>
        </w:rPr>
        <w:t xml:space="preserve"> A documented, repeatable </w:t>
      </w:r>
      <w:r>
        <w:rPr>
          <w:rFonts w:ascii="Arial" w:hAnsi="Arial"/>
          <w:b/>
          <w:sz w:val="21"/>
        </w:rPr>
        <w:t>offboarding SOP</w:t>
      </w:r>
      <w:r>
        <w:rPr>
          <w:rFonts w:ascii="Arial" w:hAnsi="Arial"/>
          <w:sz w:val="21"/>
        </w:rPr>
        <w:t>: export offer → confirm → wipe → confirm backup aging → issue a deletion certificate to the school.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[BUILD]</w:t>
      </w:r>
      <w:r>
        <w:rPr>
          <w:rFonts w:ascii="Arial" w:hAnsi="Arial"/>
          <w:sz w:val="21"/>
        </w:rPr>
        <w:t xml:space="preserve"> A </w:t>
      </w:r>
      <w:r>
        <w:rPr>
          <w:rFonts w:ascii="Arial" w:hAnsi="Arial"/>
          <w:b/>
          <w:sz w:val="21"/>
        </w:rPr>
        <w:t>deletion-request intake</w:t>
      </w:r>
      <w:r>
        <w:rPr>
          <w:rFonts w:ascii="Arial" w:hAnsi="Arial"/>
          <w:sz w:val="21"/>
        </w:rPr>
        <w:t xml:space="preserve"> path (parent/student requests routed through the school; see §5).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4. Backups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Student data persists in automated backups after primary deletion until the backup retention window rolls over.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Commitment:</w:t>
      </w:r>
      <w:r>
        <w:rPr>
          <w:rFonts w:ascii="Arial" w:hAnsi="Arial"/>
          <w:sz w:val="21"/>
        </w:rPr>
        <w:t xml:space="preserve"> deleted data will not be restored into production except as part of a bona fide disaster recovery, and will age out of backups within </w:t>
      </w:r>
      <w:r>
        <w:rPr>
          <w:rFonts w:ascii="Arial" w:hAnsi="Arial"/>
          <w:b/>
          <w:sz w:val="21"/>
        </w:rPr>
        <w:t>[CONFIRM: PITR/backup window]</w:t>
      </w:r>
      <w:r>
        <w:rPr>
          <w:rFonts w:ascii="Arial" w:hAnsi="Arial"/>
          <w:sz w:val="21"/>
        </w:rPr>
        <w:t xml:space="preserve"> days.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b/>
          <w:sz w:val="21"/>
        </w:rPr>
        <w:t>Dependency:</w:t>
      </w:r>
      <w:r>
        <w:rPr>
          <w:rFonts w:ascii="Arial" w:hAnsi="Arial"/>
          <w:sz w:val="21"/>
        </w:rPr>
        <w:t xml:space="preserve"> requires Supabase </w:t>
      </w:r>
      <w:r>
        <w:rPr>
          <w:rFonts w:ascii="Arial" w:hAnsi="Arial"/>
          <w:b/>
          <w:sz w:val="21"/>
        </w:rPr>
        <w:t>Pro</w:t>
      </w:r>
      <w:r>
        <w:rPr>
          <w:rFonts w:ascii="Arial" w:hAnsi="Arial"/>
          <w:sz w:val="21"/>
        </w:rPr>
        <w:t xml:space="preserve"> (SE-07) for Point-in-Time Recovery and a defined backup retention window; document RPO/RTO (SE-08).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5. Individual rights (access, correction, deletion)</w:t>
      </w:r>
    </w:p>
    <w:p>
      <w:pPr>
        <w:spacing w:after="120"/>
      </w:pPr>
      <w:r>
        <w:rPr>
          <w:rFonts w:ascii="Arial" w:hAnsi="Arial"/>
          <w:sz w:val="21"/>
        </w:rPr>
        <w:t xml:space="preserve">Under FERPA, parents/eligible students exercise access and amendment rights </w:t>
      </w:r>
      <w:r>
        <w:rPr>
          <w:rFonts w:ascii="Arial" w:hAnsi="Arial"/>
          <w:b/>
          <w:sz w:val="21"/>
        </w:rPr>
        <w:t>through the school</w:t>
      </w:r>
      <w:r>
        <w:rPr>
          <w:rFonts w:ascii="Arial" w:hAnsi="Arial"/>
          <w:sz w:val="21"/>
        </w:rPr>
        <w:t xml:space="preserve">, not directly with the vendor. Cohort Logic's obligation is to </w:t>
      </w:r>
      <w:r>
        <w:rPr>
          <w:rFonts w:ascii="Arial" w:hAnsi="Arial"/>
          <w:b/>
          <w:sz w:val="21"/>
        </w:rPr>
        <w:t>support the school</w:t>
      </w:r>
      <w:r>
        <w:rPr>
          <w:rFonts w:ascii="Arial" w:hAnsi="Arial"/>
          <w:sz w:val="21"/>
        </w:rPr>
        <w:t xml:space="preserve"> promptly: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1. </w:t>
      </w:r>
      <w:r>
        <w:rPr>
          <w:rFonts w:ascii="Arial" w:hAnsi="Arial"/>
          <w:sz w:val="21"/>
        </w:rPr>
        <w:t>School submits a verified access/correction/deletion request on behalf of a parent/student.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2. </w:t>
      </w:r>
      <w:r>
        <w:rPr>
          <w:rFonts w:ascii="Arial" w:hAnsi="Arial"/>
          <w:sz w:val="21"/>
        </w:rPr>
        <w:t xml:space="preserve">Cohort Logic fulfills within </w:t>
      </w:r>
      <w:r>
        <w:rPr>
          <w:rFonts w:ascii="Arial" w:hAnsi="Arial"/>
          <w:b/>
          <w:sz w:val="21"/>
        </w:rPr>
        <w:t>[DECIDE: e.g., 15 business days]</w:t>
      </w:r>
      <w:r>
        <w:rPr>
          <w:rFonts w:ascii="Arial" w:hAnsi="Arial"/>
          <w:sz w:val="21"/>
        </w:rPr>
        <w:t xml:space="preserve"> (align with any stricter contract/state term).</w:t>
      </w:r>
    </w:p>
    <w:p>
      <w:pPr>
        <w:spacing w:after="40"/>
        <w:ind w:left="403"/>
      </w:pPr>
      <w:r>
        <w:rPr>
          <w:rFonts w:ascii="Arial" w:hAnsi="Arial"/>
          <w:b/>
          <w:sz w:val="21"/>
        </w:rPr>
        <w:t xml:space="preserve">3. </w:t>
      </w:r>
      <w:r>
        <w:rPr>
          <w:rFonts w:ascii="Arial" w:hAnsi="Arial"/>
          <w:sz w:val="21"/>
        </w:rPr>
        <w:t xml:space="preserve">Action is logged in </w:t>
      </w:r>
      <w:r>
        <w:rPr>
          <w:rFonts w:ascii="Consolas" w:hAnsi="Consolas"/>
          <w:sz w:val="19"/>
        </w:rPr>
        <w:t>audit_log</w:t>
      </w:r>
      <w:r>
        <w:rPr>
          <w:rFonts w:ascii="Arial" w:hAnsi="Arial"/>
          <w:sz w:val="21"/>
        </w:rPr>
        <w:t>; a confirmation is returned to the school.</w:t>
      </w:r>
    </w:p>
    <w:p>
      <w:pPr>
        <w:spacing w:after="120"/>
      </w:pPr>
      <w:r>
        <w:rPr>
          <w:rFonts w:ascii="Arial" w:hAnsi="Arial"/>
          <w:sz w:val="21"/>
        </w:rPr>
        <w:t>(See FE-13 for the request runbook.)</w:t>
      </w:r>
    </w:p>
    <w:p>
      <w:pPr>
        <w:spacing w:before="240" w:after="80"/>
      </w:pPr>
      <w:r>
        <w:rPr>
          <w:rFonts w:ascii="Arial" w:hAnsi="Arial"/>
          <w:b/>
          <w:color w:val="1E3A5F"/>
          <w:sz w:val="27"/>
        </w:rPr>
        <w:t>6. Review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This policy is reviewed at least annually and whenever the data model or sub-processors change.</w:t>
      </w:r>
    </w:p>
    <w:p>
      <w:pPr>
        <w:spacing w:after="40"/>
        <w:ind w:left="403"/>
      </w:pPr>
      <w:r>
        <w:rPr>
          <w:rFonts w:ascii="Arial" w:hAnsi="Arial"/>
          <w:b/>
          <w:color w:val="2A9D8F"/>
          <w:sz w:val="21"/>
        </w:rPr>
        <w:t xml:space="preserve">•  </w:t>
      </w:r>
      <w:r>
        <w:rPr>
          <w:rFonts w:ascii="Arial" w:hAnsi="Arial"/>
          <w:sz w:val="21"/>
        </w:rPr>
        <w:t>Retention windows and the deletion SOP are referenced by the DPA/NDPA and the Trust page.</w:t>
      </w:r>
    </w:p>
    <w:sectPr w:rsidR="00FC693F" w:rsidRPr="0006063C" w:rsidSect="00034616">
      <w:pgSz w:w="12240" w:h="15840"/>
      <w:pgMar w:top="1080" w:right="1440" w:bottom="108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