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Incident Response Plan (IRP)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SE-12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(Cohort Logic) — Incident Commander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fill the </w:t>
      </w:r>
      <w:r>
        <w:rPr>
          <w:rFonts w:ascii="Consolas" w:hAnsi="Consolas"/>
          <w:sz w:val="19"/>
        </w:rPr>
        <w:t>[FILL]</w:t>
      </w:r>
      <w:r>
        <w:rPr>
          <w:rFonts w:ascii="Arial" w:hAnsi="Arial"/>
          <w:sz w:val="21"/>
        </w:rPr>
        <w:t xml:space="preserve"> contacts before this is operational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after="120"/>
      </w:pPr>
      <w:r>
        <w:rPr>
          <w:rFonts w:ascii="Arial" w:hAnsi="Arial"/>
          <w:b/>
          <w:sz w:val="21"/>
        </w:rPr>
        <w:t>Cadence:</w:t>
      </w:r>
      <w:r>
        <w:rPr>
          <w:rFonts w:ascii="Arial" w:hAnsi="Arial"/>
          <w:sz w:val="21"/>
        </w:rPr>
        <w:t xml:space="preserve"> Review annually and after any incident or tabletop exercise.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>A written IRP is required by most district contracts, by NY Ed Law 2-d's security plan expectation, and by cyber-insurance applications. It is the operational half of the breach-notification policy (</w:t>
      </w:r>
      <w:r>
        <w:rPr>
          <w:rFonts w:ascii="Consolas" w:hAnsi="Consolas"/>
          <w:color w:val="555F6A"/>
          <w:sz w:val="18"/>
        </w:rPr>
        <w:t>05_Data_Breach_Notification_Policy.md</w:t>
      </w:r>
      <w:r>
        <w:rPr>
          <w:rFonts w:ascii="Arial" w:hAnsi="Arial"/>
          <w:color w:val="555F6A"/>
          <w:sz w:val="20"/>
        </w:rPr>
        <w:t>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Purpose &amp; scope</w:t>
      </w:r>
    </w:p>
    <w:p>
      <w:pPr>
        <w:spacing w:after="120"/>
      </w:pPr>
      <w:r>
        <w:rPr>
          <w:rFonts w:ascii="Arial" w:hAnsi="Arial"/>
          <w:sz w:val="21"/>
        </w:rPr>
        <w:t xml:space="preserve">Defines how Cohort Logic detects, contains, resolves, and reports security incidents affecting the confidentiality, integrity, or availability of systems or data — especially </w:t>
      </w:r>
      <w:r>
        <w:rPr>
          <w:rFonts w:ascii="Arial" w:hAnsi="Arial"/>
          <w:b/>
          <w:sz w:val="21"/>
        </w:rPr>
        <w:t>student education records</w:t>
      </w:r>
      <w:r>
        <w:rPr>
          <w:rFonts w:ascii="Arial" w:hAnsi="Arial"/>
          <w:sz w:val="21"/>
        </w:rPr>
        <w:t>. Covers the app, Supabase (database/auth), Cloudflare (edge), and admin access.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Roles (solo founder today; scales with hiring)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Who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Incident Commander (IC)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Michael Fletcher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Owns the response end-to-end; decides severity; authorizes notifications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Technical lead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Michael (interim)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Containment, forensics, remediation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Legal / breach counsel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[FILL: attorney name + phone]</w:t>
            </w:r>
            <w:r>
              <w:rPr>
                <w:rFonts w:ascii="Arial" w:hAnsi="Arial"/>
                <w:sz w:val="18"/>
              </w:rPr>
              <w:t xml:space="preserve"> (BI-14)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Notification obligations, regulator/AG contact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Cyber-insurance contact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[FILL: carrier breach hotline + policy #]</w:t>
            </w:r>
            <w:r>
              <w:rPr>
                <w:rFonts w:ascii="Arial" w:hAnsi="Arial"/>
                <w:sz w:val="18"/>
              </w:rPr>
              <w:t xml:space="preserve"> (BI-04)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Many policies require notifying the carrier first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Comms / customer contact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Michael (interim)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District notifications, status page</w:t>
            </w:r>
          </w:p>
        </w:tc>
      </w:tr>
    </w:tbl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>Until there are more people, the IC role is concentrated. The mitigation is this written plan + pre-identified external counsel and insurer so response does not depend on improvising under pressure.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Severity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Sev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Sev-1 (Critical)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Confirmed/likely unauthorized access to student PII, or full outage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Student data readable across schools; DB breach; leaked credentials with prod access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Immediate; IC engaged within 1 hour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Sev-2 (High)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Security control failure with exposure risk, no confirmed data access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RLS gap found; MFA bypass; exposed secret with limited blast radius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Same day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Sev-3 (Low/Moderate)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Localized issue, no PII risk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Single-account compromise contained; dependency CVE not yet exploited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Next business day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 xml:space="preserve">Anything touching student PII starts at </w:t>
      </w:r>
      <w:r>
        <w:rPr>
          <w:rFonts w:ascii="Arial" w:hAnsi="Arial"/>
          <w:b/>
          <w:sz w:val="21"/>
        </w:rPr>
        <w:t>Sev-1 until proven otherwise</w:t>
      </w:r>
      <w:r>
        <w:rPr>
          <w:rFonts w:ascii="Arial" w:hAnsi="Arial"/>
          <w:sz w:val="21"/>
        </w:rPr>
        <w:t>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Detection sources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The </w:t>
      </w:r>
      <w:r>
        <w:rPr>
          <w:rFonts w:ascii="Arial" w:hAnsi="Arial"/>
          <w:b/>
          <w:sz w:val="21"/>
        </w:rPr>
        <w:t>daily automated security &amp; compliance agent</w:t>
      </w:r>
      <w:r>
        <w:rPr>
          <w:rFonts w:ascii="Arial" w:hAnsi="Arial"/>
          <w:sz w:val="21"/>
        </w:rPr>
        <w:t xml:space="preserve"> (deploy exposure, RLS anon-probe, headers, MFA, credential rotation) → admin Security dashboard.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Consolas" w:hAnsi="Consolas"/>
          <w:sz w:val="19"/>
        </w:rPr>
        <w:t>error_logs</w:t>
      </w:r>
      <w:r>
        <w:rPr>
          <w:rFonts w:ascii="Arial" w:hAnsi="Arial"/>
          <w:sz w:val="21"/>
        </w:rPr>
        <w:t xml:space="preserve"> and application monitoring / uptime alerts (SE-14, once added).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Supabase / Cloudflare provider alerts.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Reports from users, schools, or security researchers.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Response phases (runbook)</w:t>
      </w:r>
    </w:p>
    <w:p>
      <w:pPr>
        <w:spacing w:after="120"/>
      </w:pPr>
      <w:r>
        <w:rPr>
          <w:rFonts w:ascii="Arial" w:hAnsi="Arial"/>
          <w:b/>
          <w:sz w:val="21"/>
        </w:rPr>
        <w:t>1. Detect &amp; record.</w:t>
      </w:r>
      <w:r>
        <w:rPr>
          <w:rFonts w:ascii="Arial" w:hAnsi="Arial"/>
          <w:sz w:val="21"/>
        </w:rPr>
        <w:t xml:space="preserve"> Open an incident record (time, reporter, what/how detected). Start a timeline log — every action, timestamped. Assign a Sev.</w:t>
      </w:r>
    </w:p>
    <w:p>
      <w:pPr>
        <w:spacing w:after="120"/>
      </w:pPr>
      <w:r>
        <w:rPr>
          <w:rFonts w:ascii="Arial" w:hAnsi="Arial"/>
          <w:b/>
          <w:sz w:val="21"/>
        </w:rPr>
        <w:t>2. Triage.</w:t>
      </w:r>
      <w:r>
        <w:rPr>
          <w:rFonts w:ascii="Arial" w:hAnsi="Arial"/>
          <w:sz w:val="21"/>
        </w:rPr>
        <w:t xml:space="preserve"> Confirm it's real. Scope it: what systems/tables/schools/records are affected? Is student PII involved? Preserve evidence (don't wipe logs; snapshot before changing anything).</w:t>
      </w:r>
    </w:p>
    <w:p>
      <w:pPr>
        <w:spacing w:after="120"/>
      </w:pPr>
      <w:r>
        <w:rPr>
          <w:rFonts w:ascii="Arial" w:hAnsi="Arial"/>
          <w:b/>
          <w:sz w:val="21"/>
        </w:rPr>
        <w:t>3. Contain.</w:t>
      </w:r>
      <w:r>
        <w:rPr>
          <w:rFonts w:ascii="Arial" w:hAnsi="Arial"/>
          <w:sz w:val="21"/>
        </w:rPr>
        <w:t xml:space="preserve"> Stop the bleeding: rotate/revoke compromised credentials (service-role key, PATs, user sessions); tighten or disable the affected path; if cross-tenant data exposure, consider taking the surface offline. Use </w:t>
      </w:r>
      <w:r>
        <w:rPr>
          <w:rFonts w:ascii="Consolas" w:hAnsi="Consolas"/>
          <w:sz w:val="19"/>
        </w:rPr>
        <w:t>scripts/deploy.sh</w:t>
      </w:r>
      <w:r>
        <w:rPr>
          <w:rFonts w:ascii="Arial" w:hAnsi="Arial"/>
          <w:sz w:val="21"/>
        </w:rPr>
        <w:t xml:space="preserve"> gate; never bypass controls while containing.</w:t>
      </w:r>
    </w:p>
    <w:p>
      <w:pPr>
        <w:spacing w:after="120"/>
      </w:pPr>
      <w:r>
        <w:rPr>
          <w:rFonts w:ascii="Arial" w:hAnsi="Arial"/>
          <w:b/>
          <w:sz w:val="21"/>
        </w:rPr>
        <w:t>4. Notify (start the clock).</w:t>
      </w:r>
      <w:r>
        <w:rPr>
          <w:rFonts w:ascii="Arial" w:hAnsi="Arial"/>
          <w:sz w:val="21"/>
        </w:rPr>
        <w:t xml:space="preserve"> If student PII is or may be involved, </w:t>
      </w:r>
      <w:r>
        <w:rPr>
          <w:rFonts w:ascii="Arial" w:hAnsi="Arial"/>
          <w:b/>
          <w:sz w:val="21"/>
        </w:rPr>
        <w:t>engage breach counsel and the cyber-insurer immediately</w:t>
      </w:r>
      <w:r>
        <w:rPr>
          <w:rFonts w:ascii="Arial" w:hAnsi="Arial"/>
          <w:sz w:val="21"/>
        </w:rPr>
        <w:t xml:space="preserve"> (before broad external comms), then follow </w:t>
      </w:r>
      <w:r>
        <w:rPr>
          <w:rFonts w:ascii="Consolas" w:hAnsi="Consolas"/>
          <w:sz w:val="19"/>
        </w:rPr>
        <w:t>05_Data_Breach_Notification_Policy.md</w:t>
      </w:r>
      <w:r>
        <w:rPr>
          <w:rFonts w:ascii="Arial" w:hAnsi="Arial"/>
          <w:sz w:val="21"/>
        </w:rPr>
        <w:t xml:space="preserve"> for district/parent/regulator notification and timelines. Notifying the insurer late can void coverage.</w:t>
      </w:r>
    </w:p>
    <w:p>
      <w:pPr>
        <w:spacing w:after="120"/>
      </w:pPr>
      <w:r>
        <w:rPr>
          <w:rFonts w:ascii="Arial" w:hAnsi="Arial"/>
          <w:b/>
          <w:sz w:val="21"/>
        </w:rPr>
        <w:t>5. Eradicate &amp; recover.</w:t>
      </w:r>
      <w:r>
        <w:rPr>
          <w:rFonts w:ascii="Arial" w:hAnsi="Arial"/>
          <w:sz w:val="21"/>
        </w:rPr>
        <w:t xml:space="preserve"> Remove the root cause (patch, fix RLS/policy, close the exposure). Restore from known-good backups if integrity was affected (SE-08). Verify with the security agent + a targeted check before declaring recovery.</w:t>
      </w:r>
    </w:p>
    <w:p>
      <w:pPr>
        <w:spacing w:after="120"/>
      </w:pPr>
      <w:r>
        <w:rPr>
          <w:rFonts w:ascii="Arial" w:hAnsi="Arial"/>
          <w:b/>
          <w:sz w:val="21"/>
        </w:rPr>
        <w:t>6. Post-incident review (within 5 business days).</w:t>
      </w:r>
      <w:r>
        <w:rPr>
          <w:rFonts w:ascii="Arial" w:hAnsi="Arial"/>
          <w:sz w:val="21"/>
        </w:rPr>
        <w:t xml:space="preserve"> Blameless write-up: timeline, root cause, what worked, what to fix. File corrective actions as tracker items. Update this plan and controls.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6. Evidence &amp; communication rules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Preserve first.</w:t>
      </w:r>
      <w:r>
        <w:rPr>
          <w:rFonts w:ascii="Arial" w:hAnsi="Arial"/>
          <w:sz w:val="21"/>
        </w:rPr>
        <w:t xml:space="preserve"> Snapshot logs (</w:t>
      </w:r>
      <w:r>
        <w:rPr>
          <w:rFonts w:ascii="Consolas" w:hAnsi="Consolas"/>
          <w:sz w:val="19"/>
        </w:rPr>
        <w:t>audit_log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error_logs</w:t>
      </w:r>
      <w:r>
        <w:rPr>
          <w:rFonts w:ascii="Arial" w:hAnsi="Arial"/>
          <w:sz w:val="21"/>
        </w:rPr>
        <w:t>, provider logs) and DB state before remediation where feasible.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Single source of truth.</w:t>
      </w:r>
      <w:r>
        <w:rPr>
          <w:rFonts w:ascii="Arial" w:hAnsi="Arial"/>
          <w:sz w:val="21"/>
        </w:rPr>
        <w:t xml:space="preserve"> One incident doc; the IC approves all external statements.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Don't over-share early.</w:t>
      </w:r>
      <w:r>
        <w:rPr>
          <w:rFonts w:ascii="Arial" w:hAnsi="Arial"/>
          <w:sz w:val="21"/>
        </w:rPr>
        <w:t xml:space="preserve"> Facts to affected schools through counsel; no speculation publicly. Use the status page (PR-07) for availability incidents.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Credentials/keys are never pasted into the incident doc or chat.</w:t>
      </w:r>
      <w:r>
        <w:rPr>
          <w:rFonts w:ascii="Arial" w:hAnsi="Arial"/>
          <w:sz w:val="21"/>
        </w:rPr>
        <w:t xml:space="preserve"> Reference them by name; rotate via the documented path.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7. Key contacts (fill before go-live)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Contact</w:t>
            </w:r>
          </w:p>
        </w:tc>
        <w:tc>
          <w:tcPr>
            <w:tcW w:type="dxa" w:w="468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Breach/privacy counsel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[FILL]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Cyber-insurance breach hotline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[FILL]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 support / security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[FILL: support plan + URL]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Cloudflare support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Consolas" w:hAnsi="Consolas"/>
                <w:sz w:val="16"/>
              </w:rPr>
              <w:t>[FILL]</w:t>
            </w:r>
          </w:p>
        </w:tc>
      </w:tr>
      <w:tr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State AG / Ed-dept reporting portals</w:t>
            </w:r>
          </w:p>
        </w:tc>
        <w:tc>
          <w:tcPr>
            <w:tcW w:type="dxa" w:w="468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Per </w:t>
            </w:r>
            <w:r>
              <w:rPr>
                <w:rFonts w:ascii="Consolas" w:hAnsi="Consolas"/>
                <w:sz w:val="16"/>
              </w:rPr>
              <w:t>06_State_Student_Privacy_Matrix.md</w:t>
            </w:r>
            <w:r>
              <w:rPr>
                <w:rFonts w:ascii="Arial" w:hAnsi="Arial"/>
                <w:sz w:val="18"/>
              </w:rPr>
              <w:t xml:space="preserve"> (populated from research)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8. Testing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Run a </w:t>
      </w:r>
      <w:r>
        <w:rPr>
          <w:rFonts w:ascii="Arial" w:hAnsi="Arial"/>
          <w:b/>
          <w:sz w:val="21"/>
        </w:rPr>
        <w:t>tabletop exercise annually</w:t>
      </w:r>
      <w:r>
        <w:rPr>
          <w:rFonts w:ascii="Arial" w:hAnsi="Arial"/>
          <w:sz w:val="21"/>
        </w:rPr>
        <w:t xml:space="preserve"> (walk through a simulated Sev-1 student-data exposure end-to-end).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Validate that backups restore (SE-08) and that credential rotation works (rotation manifest) as part of the exercise.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