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usando-a-api-restful"/>
    <w:p>
      <w:pPr>
        <w:pStyle w:val="Heading1"/>
      </w:pPr>
      <w:r>
        <w:t xml:space="preserve">Usando a API RESTful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mponentesdeumachamadaAPIRESTful">
        <w:r>
          <w:rPr>
            <w:rStyle w:val="Hyperlink"/>
          </w:rPr>
          <w:t xml:space="preserve">Componentes de uma chamada API RESTful</w:t>
        </w:r>
      </w:hyperlink>
    </w:p>
    <w:p>
      <w:pPr>
        <w:pStyle w:val="Compact"/>
        <w:numPr>
          <w:ilvl w:val="0"/>
          <w:numId w:val="1001"/>
        </w:numPr>
      </w:pPr>
      <w:hyperlink w:anchor="DeterminarGUIDsdoaplicativoRESTful">
        <w:r>
          <w:rPr>
            <w:rStyle w:val="Hyperlink"/>
          </w:rPr>
          <w:t xml:space="preserve">Determinar GUIDs do aplicativo (RESTful)</w:t>
        </w:r>
      </w:hyperlink>
    </w:p>
    <w:p>
      <w:pPr>
        <w:pStyle w:val="Compact"/>
        <w:numPr>
          <w:ilvl w:val="0"/>
          <w:numId w:val="1001"/>
        </w:numPr>
      </w:pPr>
      <w:hyperlink w:anchor="DeterminarIDsdosistemaRESTful">
        <w:r>
          <w:rPr>
            <w:rStyle w:val="Hyperlink"/>
          </w:rPr>
          <w:t xml:space="preserve">Determinar IDs do sistema (RESTful)</w:t>
        </w:r>
      </w:hyperlink>
    </w:p>
    <w:p>
      <w:pPr>
        <w:pStyle w:val="Compact"/>
        <w:numPr>
          <w:ilvl w:val="0"/>
          <w:numId w:val="1001"/>
        </w:numPr>
      </w:pPr>
      <w:hyperlink w:anchor="AtualizandoregistrosbloqueadosRESTful">
        <w:r>
          <w:rPr>
            <w:rStyle w:val="Hyperlink"/>
          </w:rPr>
          <w:t xml:space="preserve">Atualizando registros bloqueados (RESTful)</w:t>
        </w:r>
      </w:hyperlink>
    </w:p>
    <w:bookmarkStart w:id="20" w:name="ComponentesdeumachamadaAPIRESTful"/>
    <w:p>
      <w:pPr>
        <w:pStyle w:val="Heading2"/>
      </w:pPr>
      <w:r>
        <w:t xml:space="preserve">Componentes de uma chamada API RESTful</w:t>
      </w:r>
    </w:p>
    <w:p>
      <w:pPr>
        <w:pStyle w:val="FirstParagraph"/>
      </w:pPr>
      <w:r>
        <w:t xml:space="preserve">A API RESTful do</w:t>
      </w:r>
      <w:r>
        <w:t xml:space="preserve"> </w:t>
      </w:r>
      <w:r>
        <w:t xml:space="preserve">Archer</w:t>
      </w:r>
      <w:r>
        <w:t xml:space="preserve"> </w:t>
      </w:r>
      <w:r>
        <w:t xml:space="preserve">pode ser usada de diversas maneiras. Um exemplo é usar uma ferramenta de edição de texto como o Bloco de Notas para criar um cabeçalho e um wrapper.</w:t>
      </w:r>
    </w:p>
    <w:p>
      <w:pPr>
        <w:pStyle w:val="TableCaption"/>
      </w:pPr>
      <w:r>
        <w:t xml:space="preserve">A tabela a seguir descreve os vários componentes de uma chamada de API RESTful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vários componentes de uma chamada de API RESTful no Arch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Componente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 de código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Chamar a API</w:t>
            </w:r>
          </w:p>
        </w:tc>
        <w:tc>
          <w:tcPr/>
          <w:p>
            <w:pPr>
              <w:pStyle w:val="BodyText"/>
            </w:pPr>
            <w:r>
              <w:t xml:space="preserve">Define uma solicitação HTTP.</w:t>
            </w:r>
          </w:p>
        </w:tc>
        <w:tc>
          <w:tcPr/>
          <w:p>
            <w:pPr>
              <w:pStyle w:val="BodyText"/>
            </w:pPr>
            <w:r>
              <w:t xml:space="preserve">Sub CallTheArcherAPIFromVBS()</w:t>
            </w:r>
          </w:p>
          <w:p>
            <w:pPr>
              <w:pStyle w:val="BodyText"/>
            </w:pPr>
            <w:r>
              <w:t xml:space="preserve">End Sub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Library</w:t>
            </w:r>
          </w:p>
        </w:tc>
        <w:tc>
          <w:tcPr/>
          <w:p>
            <w:pPr>
              <w:pStyle w:val="BodyText"/>
            </w:pPr>
            <w:r>
              <w:t xml:space="preserve">Usa HTTP por meio de uma biblioteca.</w:t>
            </w:r>
          </w:p>
        </w:tc>
        <w:tc>
          <w:tcPr/>
          <w:p>
            <w:pPr>
              <w:pStyle w:val="BodyText"/>
            </w:pPr>
            <w:r>
              <w:t xml:space="preserve">Set MyRequest = CreateObject(”winHttp.WinHttpRequest.5.1”)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Proxy</w:t>
            </w:r>
          </w:p>
        </w:tc>
        <w:tc>
          <w:tcPr/>
          <w:p>
            <w:pPr>
              <w:pStyle w:val="BodyText"/>
            </w:pPr>
            <w:r>
              <w:t xml:space="preserve">Informa à chamada o local para onde enviar a solicitação HTTP.</w:t>
            </w:r>
          </w:p>
        </w:tc>
        <w:tc>
          <w:tcPr/>
          <w:p>
            <w:pPr>
              <w:pStyle w:val="BodyText"/>
            </w:pPr>
            <w:r>
              <w:t xml:space="preserve">MyRequest.setProxy 2, “staging:8888”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Solicitação</w:t>
            </w:r>
          </w:p>
        </w:tc>
        <w:tc>
          <w:tcPr/>
          <w:p>
            <w:pPr>
              <w:pStyle w:val="BodyText"/>
            </w:pPr>
            <w:r>
              <w:t xml:space="preserve">Abre uma solicitação para enviar uma chamada API ao servidor.</w:t>
            </w:r>
          </w:p>
        </w:tc>
        <w:tc>
          <w:tcPr/>
          <w:p>
            <w:pPr>
              <w:pStyle w:val="BodyText"/>
            </w:pPr>
            <w:r>
              <w:t xml:space="preserve">MyRequest.Open “POST”, “http://staging/archer/platformapi/core/security/login”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Informa ao servidor o que fazer com a chamada API depois que ela é recebida.</w:t>
            </w:r>
          </w:p>
        </w:tc>
        <w:tc>
          <w:tcPr/>
          <w:p>
            <w:pPr>
              <w:pStyle w:val="BodyText"/>
            </w:pPr>
            <w:r>
              <w:t xml:space="preserve">MyRequest.setRequestHeader “Accept”, “application/json,text/html,application/xhtml</w:t>
            </w:r>
            <w:r>
              <w:br/>
            </w:r>
            <w:r>
              <w:t xml:space="preserve">+xml,application/xml;q=0.9,*/*;q=0.8”</w:t>
            </w:r>
            <w:r>
              <w:br/>
            </w:r>
            <w:r>
              <w:t xml:space="preserve">MyRequest.setRequestHeader “Content-Type”, “application/json”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</w:t>
            </w:r>
          </w:p>
        </w:tc>
        <w:tc>
          <w:tcPr/>
          <w:p>
            <w:pPr>
              <w:pStyle w:val="BodyText"/>
            </w:pPr>
            <w:r>
              <w:t xml:space="preserve">O conteúdo da chamada API.</w:t>
            </w:r>
          </w:p>
        </w:tc>
        <w:tc>
          <w:tcPr/>
          <w:p>
            <w:pPr>
              <w:pStyle w:val="BodyText"/>
            </w:pPr>
            <w:r>
              <w:t xml:space="preserve">requestBody =</w:t>
            </w:r>
            <w:r>
              <w:br/>
            </w:r>
            <w:r>
              <w:t xml:space="preserve">“{””InstanceName””:””&lt;instance&gt;,””Username””:””&lt;username&gt;””,””UserDomain””:”””,””Password””:””&lt;password&gt;””}”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Envio</w:t>
            </w:r>
          </w:p>
        </w:tc>
        <w:tc>
          <w:tcPr/>
          <w:p>
            <w:pPr>
              <w:pStyle w:val="BodyText"/>
            </w:pPr>
            <w:r>
              <w:t xml:space="preserve">Uma chamada para enviar o corpo ao servidor.</w:t>
            </w:r>
          </w:p>
        </w:tc>
        <w:tc>
          <w:tcPr/>
          <w:p>
            <w:pPr>
              <w:pStyle w:val="BodyText"/>
            </w:pPr>
            <w:r>
              <w:t xml:space="preserve">MyRequest.send requestBody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Resposta</w:t>
            </w:r>
          </w:p>
        </w:tc>
        <w:tc>
          <w:tcPr/>
          <w:p>
            <w:pPr>
              <w:pStyle w:val="BodyText"/>
            </w:pPr>
            <w:r>
              <w:t xml:space="preserve">Apresentação da saída do servidor.</w:t>
            </w:r>
          </w:p>
        </w:tc>
        <w:tc>
          <w:tcPr/>
          <w:p>
            <w:pPr>
              <w:pStyle w:val="BodyText"/>
            </w:pPr>
            <w:r>
              <w:t xml:space="preserve">Response = MyRequest.ResponseText</w:t>
            </w:r>
            <w:r>
              <w:br/>
            </w:r>
            <w:r>
              <w:br/>
            </w:r>
            <w:r>
              <w:t xml:space="preserve">token = Mid(Response, 48, 32)</w:t>
            </w:r>
          </w:p>
          <w:p>
            <w:pPr>
              <w:pStyle w:val="BodyText"/>
            </w:pPr>
            <w:r>
              <w:t xml:space="preserve">MsgBox token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BodyText"/>
      </w:pPr>
      <w:r>
        <w:t xml:space="preserve">Este exemplo em particular localiza o token da sessão que o usuário sysadmin usou para fazer log-in na sessão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CallTheRestAPIFromVBS</w:t>
      </w:r>
    </w:p>
    <w:p>
      <w:pPr>
        <w:pStyle w:val="BodyText"/>
      </w:pPr>
      <w:r>
        <w:t xml:space="preserve">Sub CallTheArcherAPIFromVBS()</w:t>
      </w:r>
    </w:p>
    <w:p>
      <w:pPr>
        <w:pStyle w:val="BodyText"/>
      </w:pPr>
      <w:r>
        <w:t xml:space="preserve">Set MyRequest = CreateObject(WinHttp.WinHttpRequest.5.1”)</w:t>
      </w:r>
    </w:p>
    <w:p>
      <w:pPr>
        <w:pStyle w:val="BodyText"/>
      </w:pPr>
      <w:r>
        <w:t xml:space="preserve">MyRequest.setProxy 2, “staging:8888”</w:t>
      </w:r>
    </w:p>
    <w:p>
      <w:pPr>
        <w:pStyle w:val="BodyText"/>
      </w:pPr>
      <w:r>
        <w:t xml:space="preserve">MyRequest.Open “POST”, “http://staging/archer/platformapi/core/security/login”</w:t>
      </w:r>
    </w:p>
    <w:p>
      <w:pPr>
        <w:pStyle w:val="BodyText"/>
      </w:pPr>
      <w:r>
        <w:t xml:space="preserve">MyRequest.setRequestHeader “Accept”, “application/json,text/html,application/xhtml</w:t>
      </w:r>
      <w:r>
        <w:br/>
      </w:r>
      <w:r>
        <w:t xml:space="preserve">+xml,application/xml;q=0.9,*/*;q=0.8”</w:t>
      </w:r>
      <w:r>
        <w:br/>
      </w:r>
      <w:r>
        <w:t xml:space="preserve">MyRequest.setRequestHeader “Content-Type”, “application/json”</w:t>
      </w:r>
    </w:p>
    <w:p>
      <w:pPr>
        <w:pStyle w:val="BodyText"/>
      </w:pPr>
      <w:r>
        <w:t xml:space="preserve">requestBody =</w:t>
      </w:r>
      <w:r>
        <w:br/>
      </w:r>
      <w:r>
        <w:t xml:space="preserve">“{””InstanceName””:””&lt;instance&gt;,””Username””:””&lt;username&gt;””,””UserDomain””:”””,””Password””:””&lt;password&gt;””}”</w:t>
      </w:r>
    </w:p>
    <w:p>
      <w:pPr>
        <w:pStyle w:val="BodyText"/>
      </w:pPr>
      <w:r>
        <w:t xml:space="preserve">MyRequest.send requestBody</w:t>
      </w:r>
    </w:p>
    <w:p>
      <w:pPr>
        <w:pStyle w:val="BodyText"/>
      </w:pPr>
      <w:r>
        <w:t xml:space="preserve">Response = MyRequest.ResponseText</w:t>
      </w:r>
      <w:r>
        <w:br/>
      </w:r>
      <w:r>
        <w:t xml:space="preserve">token = Mid(Response, 48, 32)</w:t>
      </w:r>
    </w:p>
    <w:p>
      <w:pPr>
        <w:pStyle w:val="BodyText"/>
      </w:pPr>
      <w:r>
        <w:t xml:space="preserve">MsgBox token</w:t>
      </w:r>
    </w:p>
    <w:p>
      <w:pPr>
        <w:pStyle w:val="BodyText"/>
      </w:pPr>
      <w:r>
        <w:t xml:space="preserve">End Sub</w:t>
      </w:r>
    </w:p>
    <w:bookmarkEnd w:id="20"/>
    <w:bookmarkStart w:id="24" w:name="DeterminarGUIDsdoaplicativoRESTful"/>
    <w:p>
      <w:pPr>
        <w:pStyle w:val="Heading2"/>
      </w:pPr>
      <w:r>
        <w:t xml:space="preserve">Determinar GUIDs do aplicativo (RESTful)</w:t>
      </w:r>
    </w:p>
    <w:p>
      <w:pPr>
        <w:pStyle w:val="FirstParagraph"/>
      </w:pPr>
      <w:r>
        <w:t xml:space="preserve">Alguns métodos requerem um identificador globalmente exclusivo (GUID, Globally Unique Identifier) do aplicativo como parâmetro.</w:t>
      </w:r>
    </w:p>
    <w:p>
      <w:pPr>
        <w:pStyle w:val="BodyText"/>
      </w:pPr>
      <w:r>
        <w:t xml:space="preserve">Determinar GUIDs de aplicativo</w:t>
      </w:r>
      <w:r>
        <w:br/>
      </w:r>
    </w:p>
    <w:p>
      <w:pPr>
        <w:numPr>
          <w:ilvl w:val="0"/>
          <w:numId w:val="1002"/>
        </w:numPr>
      </w:pPr>
      <w:r>
        <w:t xml:space="preserve">Vá para a página Gerenciar aplicativos.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e18776e16d3a08714cce83cdaf14c1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Gerador de aplicativos, clique em Aplicativos.</w:t>
      </w:r>
    </w:p>
    <w:p>
      <w:pPr>
        <w:pStyle w:val="Compact"/>
        <w:numPr>
          <w:ilvl w:val="0"/>
          <w:numId w:val="1002"/>
        </w:numPr>
      </w:pPr>
      <w:r>
        <w:t xml:space="preserve">Na seção Aplicativos, clique no nome do aplicativo cujo GUID você deseja.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o campo ID contém o GUID do aplicativo.</w:t>
      </w:r>
    </w:p>
    <w:bookmarkEnd w:id="24"/>
    <w:bookmarkStart w:id="27" w:name="DeterminarIDsdosistemaRESTful"/>
    <w:p>
      <w:pPr>
        <w:pStyle w:val="Heading2"/>
      </w:pPr>
      <w:r>
        <w:t xml:space="preserve">Determinar IDs do sistema (RESTful)</w:t>
      </w:r>
    </w:p>
    <w:p>
      <w:pPr>
        <w:pStyle w:val="FirstParagraph"/>
      </w:pPr>
      <w:r>
        <w:t xml:space="preserve">Alguns métodos requerem um ID de sistema como parâmetro. Use o procedimento a seguir para localizar um ID de campo, IDs de aplicativo e IDs de lista de valores.</w:t>
      </w:r>
    </w:p>
    <w:p>
      <w:pPr>
        <w:pStyle w:val="BodyText"/>
      </w:pPr>
      <w:r>
        <w:t xml:space="preserve">Determinar IDs do sistema</w:t>
      </w:r>
      <w:r>
        <w:br/>
      </w:r>
    </w:p>
    <w:p>
      <w:pPr>
        <w:numPr>
          <w:ilvl w:val="0"/>
          <w:numId w:val="1004"/>
        </w:numPr>
      </w:pPr>
      <w:r>
        <w:t xml:space="preserve">Vá para a página Gerenciar aplicativos.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e18776e16d3a08714cce83cdaf14c1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Em Gerador de aplicativos, clique em Aplicativos.</w:t>
      </w:r>
    </w:p>
    <w:p>
      <w:pPr>
        <w:pStyle w:val="Compact"/>
        <w:numPr>
          <w:ilvl w:val="0"/>
          <w:numId w:val="1004"/>
        </w:numPr>
      </w:pPr>
      <w:r>
        <w:t xml:space="preserve">Na seção Aplicativos, clique no nome do aplicativo que contém o campo cujo ID você deseja.</w:t>
      </w:r>
    </w:p>
    <w:p>
      <w:pPr>
        <w:pStyle w:val="Compact"/>
        <w:numPr>
          <w:ilvl w:val="0"/>
          <w:numId w:val="1004"/>
        </w:numPr>
      </w:pPr>
      <w:r>
        <w:t xml:space="preserve">Clique na guia Campos.</w:t>
      </w:r>
    </w:p>
    <w:p>
      <w:pPr>
        <w:numPr>
          <w:ilvl w:val="0"/>
          <w:numId w:val="1004"/>
        </w:numPr>
      </w:pPr>
      <w:r>
        <w:t xml:space="preserve">Na seção Campos, passe o mouse sobre o nome do campo apropriado.</w:t>
      </w:r>
    </w:p>
    <w:p>
      <w:pPr>
        <w:numPr>
          <w:ilvl w:val="0"/>
          <w:numId w:val="1000"/>
        </w:numPr>
      </w:pPr>
      <w:r>
        <w:t xml:space="preserve">O ID do campo é exibido na parte inferior da janela Gerenciar aplicativos.</w:t>
      </w:r>
    </w:p>
    <w:bookmarkEnd w:id="27"/>
    <w:bookmarkStart w:id="28" w:name="AtualizandoregistrosbloqueadosRESTful"/>
    <w:p>
      <w:pPr>
        <w:pStyle w:val="Heading2"/>
      </w:pPr>
      <w:r>
        <w:t xml:space="preserve">Atualizando registros bloqueados (RESTful)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tem um recurso importante que impede e a atualização ou alteração de um registro bloqueado. Um registro se torna bloqueado quando um usuário o abre no modo de edição para fins de modificação.</w:t>
      </w:r>
    </w:p>
    <w:p>
      <w:pPr>
        <w:pStyle w:val="BodyText"/>
      </w:pPr>
      <w:r>
        <w:t xml:space="preserve">No entanto, é importante observar que os registros poderão ser atualizados por meio das APIs REST e da Web, bem como pelos feeds de dados, mesmo quando um usuário os tiver bloqueado. A seguir há exemplos de APIs típicas que podem atualizar registros bloqueados pelo usuário:</w:t>
      </w:r>
    </w:p>
    <w:p>
      <w:pPr>
        <w:pStyle w:val="Compact"/>
        <w:numPr>
          <w:ilvl w:val="0"/>
          <w:numId w:val="1006"/>
        </w:numPr>
      </w:pPr>
      <w:r>
        <w:t xml:space="preserve">Conteúdo PUT (RESTful)</w:t>
      </w:r>
    </w:p>
    <w:p>
      <w:pPr>
        <w:pStyle w:val="Compact"/>
        <w:numPr>
          <w:ilvl w:val="0"/>
          <w:numId w:val="1006"/>
        </w:numPr>
      </w:pPr>
      <w:r>
        <w:t xml:space="preserve">UpdateRecord (Web Services)</w:t>
      </w:r>
    </w:p>
    <w:p>
      <w:pPr>
        <w:pStyle w:val="Compact"/>
        <w:numPr>
          <w:ilvl w:val="0"/>
          <w:numId w:val="1006"/>
        </w:numPr>
      </w:pPr>
      <w:r>
        <w:t xml:space="preserve">UpdateRecords (Web Services)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2025-03-20T20:18:51Z</dcterms:created>
  <dcterms:modified xsi:type="dcterms:W3CDTF">2025-03-20T20:18:51Z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