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fusos-horários-com-suporte-1"/>
    <w:p>
      <w:pPr>
        <w:pStyle w:val="Heading1"/>
      </w:pPr>
      <w:r>
        <w:t xml:space="preserve">Fusos horários com suporte</w:t>
      </w:r>
    </w:p>
    <w:p>
      <w:pPr>
        <w:pStyle w:val="TableCaption"/>
      </w:pPr>
      <w:r>
        <w:t xml:space="preserve">A tabela a seguir lista os fusos horários compatíveis com 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TableCaption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Esta lista é importante para a configuração do método</w:t>
      </w:r>
      <w:r>
        <w:t xml:space="preserve"> </w:t>
      </w:r>
      <w:hyperlink r:id="rId20">
        <w:r>
          <w:rPr>
            <w:rStyle w:val="Hyperlink"/>
          </w:rPr>
          <w:t xml:space="preserve">accesscontrol.CreateUserEx</w:t>
        </w:r>
      </w:hyperlink>
      <w:r>
        <w:t xml:space="preserve">.</w:t>
      </w:r>
    </w:p>
    <w:p>
      <w:pPr>
        <w:pStyle w:val="TableCaption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coluna de fuso horário é o valor passado para o método</w:t>
      </w:r>
      <w:r>
        <w:t xml:space="preserve"> </w:t>
      </w:r>
      <w:hyperlink r:id="rId20">
        <w:r>
          <w:rPr>
            <w:rStyle w:val="Hyperlink"/>
          </w:rPr>
          <w:t xml:space="preserve">accesscontrol.CreateUserEx</w:t>
        </w:r>
      </w:hyperlink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os fusos horários compatíveis com o Archer.Observação: Esta lista é importante para a configuração do método accesscontrol.CreateUserEx.Importante: A coluna de fuso horário é o valor passado para o método accesscontrol.CreateUserEx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Vídeo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Afeganistão</w:t>
            </w:r>
          </w:p>
        </w:tc>
        <w:tc>
          <w:tcPr/>
          <w:p>
            <w:pPr>
              <w:pStyle w:val="BodyText"/>
            </w:pPr>
            <w:r>
              <w:t xml:space="preserve">(UTC+04:30) Cabul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Alasca</w:t>
            </w:r>
          </w:p>
        </w:tc>
        <w:tc>
          <w:tcPr/>
          <w:p>
            <w:pPr>
              <w:pStyle w:val="BodyText"/>
            </w:pPr>
            <w:r>
              <w:t xml:space="preserve">(UTC-09:00) Alasca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Arábia</w:t>
            </w:r>
          </w:p>
        </w:tc>
        <w:tc>
          <w:tcPr/>
          <w:p>
            <w:pPr>
              <w:pStyle w:val="BodyText"/>
            </w:pPr>
            <w:r>
              <w:t xml:space="preserve">(UTC+03:00) Kuwait, Riyadh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padrão da Arábia</w:t>
            </w:r>
          </w:p>
        </w:tc>
        <w:tc>
          <w:tcPr/>
          <w:p>
            <w:pPr>
              <w:pStyle w:val="BodyText"/>
            </w:pPr>
            <w:r>
              <w:t xml:space="preserve">(UTC+04:00) Abu Dhabi, Muscat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Arábia</w:t>
            </w:r>
          </w:p>
        </w:tc>
        <w:tc>
          <w:tcPr/>
          <w:p>
            <w:pPr>
              <w:pStyle w:val="BodyText"/>
            </w:pPr>
            <w:r>
              <w:t xml:space="preserve">(UTC+03) Bagdá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Atlântico</w:t>
            </w:r>
          </w:p>
        </w:tc>
        <w:tc>
          <w:tcPr/>
          <w:p>
            <w:pPr>
              <w:pStyle w:val="BodyText"/>
            </w:pPr>
            <w:r>
              <w:t xml:space="preserve">(UTC-04:00) Horário do Atlântico (Canadá)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central da AUS</w:t>
            </w:r>
          </w:p>
        </w:tc>
        <w:tc>
          <w:tcPr/>
          <w:p>
            <w:pPr>
              <w:pStyle w:val="BodyText"/>
            </w:pPr>
            <w:r>
              <w:t xml:space="preserve">(UTC+09:30) Darwin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leste da AUS</w:t>
            </w:r>
          </w:p>
        </w:tc>
        <w:tc>
          <w:tcPr/>
          <w:p>
            <w:pPr>
              <w:pStyle w:val="BodyText"/>
            </w:pPr>
            <w:r>
              <w:t xml:space="preserve">(UTC+10:00) Canberra, Melbourne, Sydney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Azerbaijão</w:t>
            </w:r>
          </w:p>
        </w:tc>
        <w:tc>
          <w:tcPr/>
          <w:p>
            <w:pPr>
              <w:pStyle w:val="BodyText"/>
            </w:pPr>
            <w:r>
              <w:t xml:space="preserve">(UTC+04: 00) Baku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de Açores</w:t>
            </w:r>
          </w:p>
        </w:tc>
        <w:tc>
          <w:tcPr/>
          <w:p>
            <w:pPr>
              <w:pStyle w:val="BodyText"/>
            </w:pPr>
            <w:r>
              <w:t xml:space="preserve">(UTC-01:00) Açores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central do Canadá</w:t>
            </w:r>
          </w:p>
        </w:tc>
        <w:tc>
          <w:tcPr/>
          <w:p>
            <w:pPr>
              <w:pStyle w:val="BodyText"/>
            </w:pPr>
            <w:r>
              <w:t xml:space="preserve">(UTC-06:00) Saskatchewan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de Cabo Verde</w:t>
            </w:r>
          </w:p>
        </w:tc>
        <w:tc>
          <w:tcPr/>
          <w:p>
            <w:pPr>
              <w:pStyle w:val="BodyText"/>
            </w:pPr>
            <w:r>
              <w:t xml:space="preserve">(UTC-01:00) Ilhas Cabo Verde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Cáucaso</w:t>
            </w:r>
          </w:p>
        </w:tc>
        <w:tc>
          <w:tcPr/>
          <w:p>
            <w:pPr>
              <w:pStyle w:val="BodyText"/>
            </w:pPr>
            <w:r>
              <w:t xml:space="preserve">(UTC+04:00) Ierevan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Cen. Horário padrão da Austrália</w:t>
            </w:r>
          </w:p>
        </w:tc>
        <w:tc>
          <w:tcPr/>
          <w:p>
            <w:pPr>
              <w:pStyle w:val="BodyText"/>
            </w:pPr>
            <w:r>
              <w:t xml:space="preserve">(UTC+09:30) Adelaide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América Central</w:t>
            </w:r>
          </w:p>
        </w:tc>
        <w:tc>
          <w:tcPr/>
          <w:p>
            <w:pPr>
              <w:pStyle w:val="BodyText"/>
            </w:pPr>
            <w:r>
              <w:t xml:space="preserve">(UTC-06:00) América Central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Ásia Central</w:t>
            </w:r>
          </w:p>
        </w:tc>
        <w:tc>
          <w:tcPr/>
          <w:p>
            <w:pPr>
              <w:pStyle w:val="BodyText"/>
            </w:pPr>
            <w:r>
              <w:t xml:space="preserve">(UTC+06:00) Astana, Dhaka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Brasil Central</w:t>
            </w:r>
          </w:p>
        </w:tc>
        <w:tc>
          <w:tcPr/>
          <w:p>
            <w:pPr>
              <w:pStyle w:val="BodyText"/>
            </w:pPr>
            <w:r>
              <w:t xml:space="preserve">(UTC-04) Manaus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Europa Central</w:t>
            </w:r>
          </w:p>
        </w:tc>
        <w:tc>
          <w:tcPr/>
          <w:p>
            <w:pPr>
              <w:pStyle w:val="BodyText"/>
            </w:pPr>
            <w:r>
              <w:t xml:space="preserve">(UTC+01:00) Belgrado, Bratislava, Budapeste, Ljubljana, Praga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Europa Central</w:t>
            </w:r>
          </w:p>
        </w:tc>
        <w:tc>
          <w:tcPr/>
          <w:p>
            <w:pPr>
              <w:pStyle w:val="BodyText"/>
            </w:pPr>
            <w:r>
              <w:t xml:space="preserve">(UTC+01:00) Sarajevo, Skopje, Varsóvia, Zagreb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Pacífico Central</w:t>
            </w:r>
          </w:p>
        </w:tc>
        <w:tc>
          <w:tcPr/>
          <w:p>
            <w:pPr>
              <w:pStyle w:val="BodyText"/>
            </w:pPr>
            <w:r>
              <w:t xml:space="preserve">(UTC+11:00) Magadan, Ilhas Salomão, Nova Caledônia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central</w:t>
            </w:r>
          </w:p>
        </w:tc>
        <w:tc>
          <w:tcPr/>
          <w:p>
            <w:pPr>
              <w:pStyle w:val="BodyText"/>
            </w:pPr>
            <w:r>
              <w:t xml:space="preserve">(UTC-06:00) Horário central (EUA e Canadá)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central (México)</w:t>
            </w:r>
          </w:p>
        </w:tc>
        <w:tc>
          <w:tcPr/>
          <w:p>
            <w:pPr>
              <w:pStyle w:val="BodyText"/>
            </w:pPr>
            <w:r>
              <w:t xml:space="preserve">(UTC-06:00) Guadalajara, Cidade do México, Monterrey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China</w:t>
            </w:r>
          </w:p>
        </w:tc>
        <w:tc>
          <w:tcPr/>
          <w:p>
            <w:pPr>
              <w:pStyle w:val="BodyText"/>
            </w:pPr>
            <w:r>
              <w:t xml:space="preserve">(UTC+08:00) Beijing, Chongqing, RAE de Hong Kong, Urumqi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Meridiano</w:t>
            </w:r>
          </w:p>
        </w:tc>
        <w:tc>
          <w:tcPr/>
          <w:p>
            <w:pPr>
              <w:pStyle w:val="BodyText"/>
            </w:pPr>
            <w:r>
              <w:t xml:space="preserve">(UTC-12:00) Linha internacional de mudança de data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África Oriental</w:t>
            </w:r>
          </w:p>
        </w:tc>
        <w:tc>
          <w:tcPr/>
          <w:p>
            <w:pPr>
              <w:pStyle w:val="BodyText"/>
            </w:pPr>
            <w:r>
              <w:t xml:space="preserve">(UTC+03) Nairóbi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Austrália Oriental</w:t>
            </w:r>
          </w:p>
        </w:tc>
        <w:tc>
          <w:tcPr/>
          <w:p>
            <w:pPr>
              <w:pStyle w:val="BodyText"/>
            </w:pPr>
            <w:r>
              <w:t xml:space="preserve">(UTC+10) Brisbane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Europa Oriental</w:t>
            </w:r>
          </w:p>
        </w:tc>
        <w:tc>
          <w:tcPr/>
          <w:p>
            <w:pPr>
              <w:pStyle w:val="BodyText"/>
            </w:pPr>
            <w:r>
              <w:t xml:space="preserve">(UTC+02:00) Minsk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costa leste da América do Sul</w:t>
            </w:r>
          </w:p>
        </w:tc>
        <w:tc>
          <w:tcPr/>
          <w:p>
            <w:pPr>
              <w:pStyle w:val="BodyText"/>
            </w:pPr>
            <w:r>
              <w:t xml:space="preserve">(UTC-03:00) Brasília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costa leste dos EUA</w:t>
            </w:r>
          </w:p>
        </w:tc>
        <w:tc>
          <w:tcPr/>
          <w:p>
            <w:pPr>
              <w:pStyle w:val="BodyText"/>
            </w:pPr>
            <w:r>
              <w:t xml:space="preserve">(UTC-05:00) Horário do Leste (EUA e Canadá)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Egito</w:t>
            </w:r>
          </w:p>
        </w:tc>
        <w:tc>
          <w:tcPr/>
          <w:p>
            <w:pPr>
              <w:pStyle w:val="BodyText"/>
            </w:pPr>
            <w:r>
              <w:t xml:space="preserve">(UTC+02) Cairo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de Ekaterimburgo</w:t>
            </w:r>
          </w:p>
        </w:tc>
        <w:tc>
          <w:tcPr/>
          <w:p>
            <w:pPr>
              <w:pStyle w:val="BodyText"/>
            </w:pPr>
            <w:r>
              <w:t xml:space="preserve">(UTC+05:00) Ekaterimburgo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de Fiji</w:t>
            </w:r>
          </w:p>
        </w:tc>
        <w:tc>
          <w:tcPr/>
          <w:p>
            <w:pPr>
              <w:pStyle w:val="BodyText"/>
            </w:pPr>
            <w:r>
              <w:t xml:space="preserve">(UTC+ 12:00) Ilhas Fiji, Kamchatka, Ilhas Marshall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padrão FLE</w:t>
            </w:r>
          </w:p>
        </w:tc>
        <w:tc>
          <w:tcPr/>
          <w:p>
            <w:pPr>
              <w:pStyle w:val="BodyText"/>
            </w:pPr>
            <w:r>
              <w:t xml:space="preserve">(UTC+02:00) Helsinque, Kiev, Riga, Sofia, Tallinn, Vilnius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Geórgia</w:t>
            </w:r>
          </w:p>
        </w:tc>
        <w:tc>
          <w:tcPr/>
          <w:p>
            <w:pPr>
              <w:pStyle w:val="BodyText"/>
            </w:pPr>
            <w:r>
              <w:t xml:space="preserve">(UTC+04: 00) Tblisi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UTC</w:t>
            </w:r>
          </w:p>
        </w:tc>
        <w:tc>
          <w:tcPr/>
          <w:p>
            <w:pPr>
              <w:pStyle w:val="BodyText"/>
            </w:pPr>
            <w:r>
              <w:t xml:space="preserve">(UTC) Horário Universal Coordenado: Dublin, Edimburgo, Lisboa, Londres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Groenlândia</w:t>
            </w:r>
          </w:p>
        </w:tc>
        <w:tc>
          <w:tcPr/>
          <w:p>
            <w:pPr>
              <w:pStyle w:val="BodyText"/>
            </w:pPr>
            <w:r>
              <w:t xml:space="preserve">(UTC-03:00) Groenlândia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de Greenwich</w:t>
            </w:r>
          </w:p>
        </w:tc>
        <w:tc>
          <w:tcPr/>
          <w:p>
            <w:pPr>
              <w:pStyle w:val="BodyText"/>
            </w:pPr>
            <w:r>
              <w:t xml:space="preserve">(UTC) Casablanca, Monróvia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GTB</w:t>
            </w:r>
          </w:p>
        </w:tc>
        <w:tc>
          <w:tcPr/>
          <w:p>
            <w:pPr>
              <w:pStyle w:val="BodyText"/>
            </w:pPr>
            <w:r>
              <w:t xml:space="preserve">(UTC+02:00) Atenas, Bucareste, Istambul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Havaí</w:t>
            </w:r>
          </w:p>
        </w:tc>
        <w:tc>
          <w:tcPr/>
          <w:p>
            <w:pPr>
              <w:pStyle w:val="BodyText"/>
            </w:pPr>
            <w:r>
              <w:t xml:space="preserve">(UTC-10:00) Havaí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Índia</w:t>
            </w:r>
          </w:p>
        </w:tc>
        <w:tc>
          <w:tcPr/>
          <w:p>
            <w:pPr>
              <w:pStyle w:val="BodyText"/>
            </w:pPr>
            <w:r>
              <w:t xml:space="preserve">(UTC+05:30) Chennai, Kolkata, Mumbai, Nova Déli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Irã</w:t>
            </w:r>
          </w:p>
        </w:tc>
        <w:tc>
          <w:tcPr/>
          <w:p>
            <w:pPr>
              <w:pStyle w:val="BodyText"/>
            </w:pPr>
            <w:r>
              <w:t xml:space="preserve">(UTC+ 03:30) Teerã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de Israel</w:t>
            </w:r>
          </w:p>
        </w:tc>
        <w:tc>
          <w:tcPr/>
          <w:p>
            <w:pPr>
              <w:pStyle w:val="BodyText"/>
            </w:pPr>
            <w:r>
              <w:t xml:space="preserve">(UTC+02:00) Jerusalém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Coreia</w:t>
            </w:r>
          </w:p>
        </w:tc>
        <w:tc>
          <w:tcPr/>
          <w:p>
            <w:pPr>
              <w:pStyle w:val="BodyText"/>
            </w:pPr>
            <w:r>
              <w:t xml:space="preserve">(UTC+09:00) Seul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Médio Atlântico</w:t>
            </w:r>
          </w:p>
        </w:tc>
        <w:tc>
          <w:tcPr/>
          <w:p>
            <w:pPr>
              <w:pStyle w:val="BodyText"/>
            </w:pPr>
            <w:r>
              <w:t xml:space="preserve">(UTC-02:00) Médio Atlântico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das Montanhas</w:t>
            </w:r>
          </w:p>
        </w:tc>
        <w:tc>
          <w:tcPr/>
          <w:p>
            <w:pPr>
              <w:pStyle w:val="BodyText"/>
            </w:pPr>
            <w:r>
              <w:t xml:space="preserve">(UTC-07:00) Horário das Montanhas (EUA e Canadá)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das Montanhas (México)</w:t>
            </w:r>
          </w:p>
        </w:tc>
        <w:tc>
          <w:tcPr/>
          <w:p>
            <w:pPr>
              <w:pStyle w:val="BodyText"/>
            </w:pPr>
            <w:r>
              <w:t xml:space="preserve">(UTC-07:00) Chihuahua, La Paz, Mazatlan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Myanmar</w:t>
            </w:r>
          </w:p>
        </w:tc>
        <w:tc>
          <w:tcPr/>
          <w:p>
            <w:pPr>
              <w:pStyle w:val="BodyText"/>
            </w:pPr>
            <w:r>
              <w:t xml:space="preserve">(UTC+06:30) Yangon (Rangoon)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Ásia Central</w:t>
            </w:r>
          </w:p>
        </w:tc>
        <w:tc>
          <w:tcPr/>
          <w:p>
            <w:pPr>
              <w:pStyle w:val="BodyText"/>
            </w:pPr>
            <w:r>
              <w:t xml:space="preserve">(UTC+06:00) Almaty, Novosibirsk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Namíbia</w:t>
            </w:r>
          </w:p>
        </w:tc>
        <w:tc>
          <w:tcPr/>
          <w:p>
            <w:pPr>
              <w:pStyle w:val="BodyText"/>
            </w:pPr>
            <w:r>
              <w:t xml:space="preserve">(UTC+02:00) Vinduque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Nepal</w:t>
            </w:r>
          </w:p>
        </w:tc>
        <w:tc>
          <w:tcPr/>
          <w:p>
            <w:pPr>
              <w:pStyle w:val="BodyText"/>
            </w:pPr>
            <w:r>
              <w:t xml:space="preserve">(UTC+05:45) Kathmandu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Nova Zelândia</w:t>
            </w:r>
          </w:p>
        </w:tc>
        <w:tc>
          <w:tcPr/>
          <w:p>
            <w:pPr>
              <w:pStyle w:val="BodyText"/>
            </w:pPr>
            <w:r>
              <w:t xml:space="preserve">(UTC+12:00) Auckland, Wellington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de Terra Nova</w:t>
            </w:r>
          </w:p>
        </w:tc>
        <w:tc>
          <w:tcPr/>
          <w:p>
            <w:pPr>
              <w:pStyle w:val="BodyText"/>
            </w:pPr>
            <w:r>
              <w:t xml:space="preserve">(UTC-03:30) Terra Nova e Labrador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Noroeste da Ásia</w:t>
            </w:r>
          </w:p>
        </w:tc>
        <w:tc>
          <w:tcPr/>
          <w:p>
            <w:pPr>
              <w:pStyle w:val="BodyText"/>
            </w:pPr>
            <w:r>
              <w:t xml:space="preserve">(UTC+08:00) Irkutsk, Ulaanbaatar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Norte da Ásia</w:t>
            </w:r>
          </w:p>
        </w:tc>
        <w:tc>
          <w:tcPr/>
          <w:p>
            <w:pPr>
              <w:pStyle w:val="BodyText"/>
            </w:pPr>
            <w:r>
              <w:t xml:space="preserve">(UTC+07:00) Krasnoyarsk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Pacífico (América do Sul)</w:t>
            </w:r>
          </w:p>
        </w:tc>
        <w:tc>
          <w:tcPr/>
          <w:p>
            <w:pPr>
              <w:pStyle w:val="BodyText"/>
            </w:pPr>
            <w:r>
              <w:t xml:space="preserve">(UTC-04:00) Santiago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Pacífico</w:t>
            </w:r>
          </w:p>
        </w:tc>
        <w:tc>
          <w:tcPr/>
          <w:p>
            <w:pPr>
              <w:pStyle w:val="BodyText"/>
            </w:pPr>
            <w:r>
              <w:t xml:space="preserve">(UTC-08:00) Horário do Pacífico (EUA e Canadá), Tijuana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de Romance</w:t>
            </w:r>
          </w:p>
        </w:tc>
        <w:tc>
          <w:tcPr/>
          <w:p>
            <w:pPr>
              <w:pStyle w:val="BodyText"/>
            </w:pPr>
            <w:r>
              <w:t xml:space="preserve">(UTC+01:00) Bruxelas, Copenhague, Madri, Paris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Rússia</w:t>
            </w:r>
          </w:p>
        </w:tc>
        <w:tc>
          <w:tcPr/>
          <w:p>
            <w:pPr>
              <w:pStyle w:val="BodyText"/>
            </w:pPr>
            <w:r>
              <w:t xml:space="preserve">(UTC+03:00) Moscou, São Petersburgo, Volgogrado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costa leste da América do Sul</w:t>
            </w:r>
          </w:p>
        </w:tc>
        <w:tc>
          <w:tcPr/>
          <w:p>
            <w:pPr>
              <w:pStyle w:val="BodyText"/>
            </w:pPr>
            <w:r>
              <w:t xml:space="preserve">(UTC-03:00) Buenos Aires, Georgetown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Pacífico (América do Sul)</w:t>
            </w:r>
          </w:p>
        </w:tc>
        <w:tc>
          <w:tcPr/>
          <w:p>
            <w:pPr>
              <w:pStyle w:val="BodyText"/>
            </w:pPr>
            <w:r>
              <w:t xml:space="preserve">(UTC-05:00) Bogotá, Lima, Quito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costa oeste da América do Sul</w:t>
            </w:r>
          </w:p>
        </w:tc>
        <w:tc>
          <w:tcPr/>
          <w:p>
            <w:pPr>
              <w:pStyle w:val="BodyText"/>
            </w:pPr>
            <w:r>
              <w:t xml:space="preserve">(UTC-04:00) Caracas, La Paz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Samoa</w:t>
            </w:r>
          </w:p>
        </w:tc>
        <w:tc>
          <w:tcPr/>
          <w:p>
            <w:pPr>
              <w:pStyle w:val="BodyText"/>
            </w:pPr>
            <w:r>
              <w:t xml:space="preserve">(UTC-11:00) Ilha Midway, Samoa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Sudeste da Ásia</w:t>
            </w:r>
          </w:p>
        </w:tc>
        <w:tc>
          <w:tcPr/>
          <w:p>
            <w:pPr>
              <w:pStyle w:val="BodyText"/>
            </w:pPr>
            <w:r>
              <w:t xml:space="preserve">(UTC+07:00) Bangkok, Hanói, Jacarta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de Cingapura</w:t>
            </w:r>
          </w:p>
        </w:tc>
        <w:tc>
          <w:tcPr/>
          <w:p>
            <w:pPr>
              <w:pStyle w:val="BodyText"/>
            </w:pPr>
            <w:r>
              <w:t xml:space="preserve">(UTC+08:00) Kuala Lumpur, Cingapura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África do Sul</w:t>
            </w:r>
          </w:p>
        </w:tc>
        <w:tc>
          <w:tcPr/>
          <w:p>
            <w:pPr>
              <w:pStyle w:val="BodyText"/>
            </w:pPr>
            <w:r>
              <w:t xml:space="preserve">(UTC+02:00) Harare, Pretoria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de Sri Lanka</w:t>
            </w:r>
          </w:p>
        </w:tc>
        <w:tc>
          <w:tcPr/>
          <w:p>
            <w:pPr>
              <w:pStyle w:val="BodyText"/>
            </w:pPr>
            <w:r>
              <w:t xml:space="preserve">(UTC+06:00) Sri Jayawardenepura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de Taipé</w:t>
            </w:r>
          </w:p>
        </w:tc>
        <w:tc>
          <w:tcPr/>
          <w:p>
            <w:pPr>
              <w:pStyle w:val="BodyText"/>
            </w:pPr>
            <w:r>
              <w:t xml:space="preserve">(UTC+08:00) Taipé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Tasmânia</w:t>
            </w:r>
          </w:p>
        </w:tc>
        <w:tc>
          <w:tcPr/>
          <w:p>
            <w:pPr>
              <w:pStyle w:val="BodyText"/>
            </w:pPr>
            <w:r>
              <w:t xml:space="preserve">(UTC+10:00) Hobart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de Tóquio</w:t>
            </w:r>
          </w:p>
        </w:tc>
        <w:tc>
          <w:tcPr/>
          <w:p>
            <w:pPr>
              <w:pStyle w:val="BodyText"/>
            </w:pPr>
            <w:r>
              <w:t xml:space="preserve">(UTC+09:00) Osaka, Sapporo, Tóquio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de Tonga</w:t>
            </w:r>
          </w:p>
        </w:tc>
        <w:tc>
          <w:tcPr/>
          <w:p>
            <w:pPr>
              <w:pStyle w:val="BodyText"/>
            </w:pPr>
            <w:r>
              <w:t xml:space="preserve">(UTC+13:00) Nuku'alofa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costa leste dos EUA</w:t>
            </w:r>
          </w:p>
        </w:tc>
        <w:tc>
          <w:tcPr/>
          <w:p>
            <w:pPr>
              <w:pStyle w:val="BodyText"/>
            </w:pPr>
            <w:r>
              <w:t xml:space="preserve">(UTC-05:00) Indiana (Leste)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das Montanhas (EUA)</w:t>
            </w:r>
          </w:p>
        </w:tc>
        <w:tc>
          <w:tcPr/>
          <w:p>
            <w:pPr>
              <w:pStyle w:val="BodyText"/>
            </w:pPr>
            <w:r>
              <w:t xml:space="preserve">(UTC-07:00) Arizona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de Vladivostok</w:t>
            </w:r>
          </w:p>
        </w:tc>
        <w:tc>
          <w:tcPr/>
          <w:p>
            <w:pPr>
              <w:pStyle w:val="BodyText"/>
            </w:pPr>
            <w:r>
              <w:t xml:space="preserve">(UTC+10:00) Vladivostok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Austrália Ocidental</w:t>
            </w:r>
          </w:p>
        </w:tc>
        <w:tc>
          <w:tcPr/>
          <w:p>
            <w:pPr>
              <w:pStyle w:val="BodyText"/>
            </w:pPr>
            <w:r>
              <w:t xml:space="preserve">(UTC+08:00) Perth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Centro-oeste da África</w:t>
            </w:r>
          </w:p>
        </w:tc>
        <w:tc>
          <w:tcPr/>
          <w:p>
            <w:pPr>
              <w:pStyle w:val="BodyText"/>
            </w:pPr>
            <w:r>
              <w:t xml:space="preserve">(UTC+01:00) Centro-oeste da África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Europa Ocidental</w:t>
            </w:r>
          </w:p>
        </w:tc>
        <w:tc>
          <w:tcPr/>
          <w:p>
            <w:pPr>
              <w:pStyle w:val="BodyText"/>
            </w:pPr>
            <w:r>
              <w:t xml:space="preserve">(UTC+01:00) Amsterdã, Berlim, Berna, Roma, Estocolmo, Viena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da Ásia Ocidental</w:t>
            </w:r>
          </w:p>
        </w:tc>
        <w:tc>
          <w:tcPr/>
          <w:p>
            <w:pPr>
              <w:pStyle w:val="BodyText"/>
            </w:pPr>
            <w:r>
              <w:t xml:space="preserve">(UTC+05:00) Islamabad, Karachi, Tashkent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do oeste do Pacífico</w:t>
            </w:r>
          </w:p>
        </w:tc>
        <w:tc>
          <w:tcPr/>
          <w:p>
            <w:pPr>
              <w:pStyle w:val="BodyText"/>
            </w:pPr>
            <w:r>
              <w:t xml:space="preserve">(UTC+10:00) Guam, Port Moresby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Horário padrão de Yakutsk</w:t>
            </w:r>
          </w:p>
        </w:tc>
        <w:tc>
          <w:tcPr/>
          <w:p>
            <w:pPr>
              <w:pStyle w:val="BodyText"/>
            </w:pPr>
            <w:r>
              <w:t xml:space="preserve">(UTC+09:00) Yakutsk</w:t>
            </w:r>
          </w:p>
        </w:tc>
      </w:tr>
    </w:tbl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2025-03-20T20:32:51Z</dcterms:created>
  <dcterms:modified xsi:type="dcterms:W3CDTF">2025-03-20T20:32:51Z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