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regras-e-ações-de-eventos-de-metadados-1"/>
    <w:p>
      <w:pPr>
        <w:pStyle w:val="Heading1"/>
      </w:pPr>
      <w:r>
        <w:t xml:space="preserve">Regras e ações de eventos de metadados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O segmento Ações do evento é acessado por meio da controladora do sistema, que inclui os seguintes recursos: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btera%C3%A7%C3%A3odeeventoporID">
        <w:r>
          <w:rPr>
            <w:rStyle w:val="Hyperlink"/>
          </w:rPr>
          <w:t xml:space="preserve">Obter ação de evento por ID</w:t>
        </w:r>
      </w:hyperlink>
    </w:p>
    <w:p>
      <w:pPr>
        <w:pStyle w:val="Compact"/>
        <w:numPr>
          <w:ilvl w:val="0"/>
          <w:numId w:val="1001"/>
        </w:numPr>
      </w:pPr>
      <w:hyperlink w:anchor="Xf67b96417a27a50edfde09d5cd79397e72f5cbd">
        <w:r>
          <w:rPr>
            <w:rStyle w:val="Hyperlink"/>
          </w:rPr>
          <w:t xml:space="preserve">Obter a ação de evento pelo ID da regra de evento</w:t>
        </w:r>
      </w:hyperlink>
    </w:p>
    <w:p>
      <w:pPr>
        <w:pStyle w:val="Compact"/>
        <w:numPr>
          <w:ilvl w:val="0"/>
          <w:numId w:val="1001"/>
        </w:numPr>
      </w:pPr>
      <w:hyperlink w:anchor="ObteraregradeeventoporID">
        <w:r>
          <w:rPr>
            <w:rStyle w:val="Hyperlink"/>
          </w:rPr>
          <w:t xml:space="preserve">Obter a regra de evento por ID</w:t>
        </w:r>
      </w:hyperlink>
    </w:p>
    <w:p>
      <w:pPr>
        <w:pStyle w:val="Compact"/>
        <w:numPr>
          <w:ilvl w:val="0"/>
          <w:numId w:val="1001"/>
        </w:numPr>
      </w:pPr>
      <w:hyperlink w:anchor="ObteraregradeeventopeloIDden%C3%ADvel">
        <w:r>
          <w:rPr>
            <w:rStyle w:val="Hyperlink"/>
          </w:rPr>
          <w:t xml:space="preserve">Obter a regra de evento pelo ID de nível</w:t>
        </w:r>
      </w:hyperlink>
    </w:p>
    <w:bookmarkStart w:id="20" w:name="ObteraçãodeeventoporID"/>
    <w:p>
      <w:pPr>
        <w:pStyle w:val="Heading2"/>
      </w:pPr>
      <w:r>
        <w:t xml:space="preserve">Obter ação de evento por ID</w:t>
      </w:r>
    </w:p>
    <w:p>
      <w:pPr>
        <w:pStyle w:val="FirstParagraph"/>
      </w:pPr>
      <w:r>
        <w:t xml:space="preserve">O recurso Obter ação de evento por ID recupera a ação de evento orientada por dados do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http://Archer/platformapi/core/system/eventaction/*eventactionid*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0"/>
    <w:bookmarkStart w:id="21" w:name="ObteraaçãodeeventopeloIDdaregradeevento"/>
    <w:p>
      <w:pPr>
        <w:pStyle w:val="Heading2"/>
      </w:pPr>
      <w:r>
        <w:t xml:space="preserve">Obter a ação de evento pelo ID da regra de evento</w:t>
      </w:r>
    </w:p>
    <w:p>
      <w:pPr>
        <w:pStyle w:val="FirstParagraph"/>
      </w:pPr>
      <w:r>
        <w:t xml:space="preserve">O recurso Obter ação de evento por ID de regra de evento recupera as ações de evento orientadas por dados associadas à regra de evento pelo ID de regra de evento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http://Archer/platformapi/core/system/eventaction/eventrule/*eventruleid*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O segmento Regras de evento é acessado por meio da controladora do sistema, que inclui os seguintes recursos:</w:t>
      </w:r>
    </w:p>
    <w:bookmarkEnd w:id="21"/>
    <w:bookmarkStart w:id="22" w:name="ObteraregradeeventoporID"/>
    <w:p>
      <w:pPr>
        <w:pStyle w:val="Heading2"/>
      </w:pPr>
      <w:r>
        <w:t xml:space="preserve">Obter a regra de evento por ID</w:t>
      </w:r>
    </w:p>
    <w:p>
      <w:pPr>
        <w:pStyle w:val="FirstParagraph"/>
      </w:pPr>
      <w:r>
        <w:t xml:space="preserve">O recurso Obter regra de evento por ID recupera a regra de evento orientada por dados do ID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http://Archer/platformapi/core/system/eventrule/*eventruleid*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2"/>
    <w:bookmarkStart w:id="23" w:name="ObteraregradeeventopeloIDdenível"/>
    <w:p>
      <w:pPr>
        <w:pStyle w:val="Heading2"/>
      </w:pPr>
      <w:r>
        <w:t xml:space="preserve">Obter a regra de evento pelo ID de nível</w:t>
      </w:r>
    </w:p>
    <w:p>
      <w:pPr>
        <w:pStyle w:val="FirstParagraph"/>
      </w:pPr>
      <w:r>
        <w:t xml:space="preserve">O recurso Obter ação de evento por ID de nível recupera a regra de evento orientada por dados associada ao nível pelo ID de nível.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http://Archer/platformapi/core/system/eventrule/level/*levelid*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session-id="session token ID from login"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2025-03-20T20:25:57Z</dcterms:created>
  <dcterms:modified xsi:type="dcterms:W3CDTF">2025-03-20T20:25:57Z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