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subformulário-de-metadados-1"/>
    <w:p>
      <w:pPr>
        <w:pStyle w:val="Heading1"/>
      </w:pPr>
      <w:r>
        <w:t xml:space="preserve">subformulário de metadados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p>
      <w:pPr>
        <w:pStyle w:val="BodyText"/>
      </w:pPr>
      <w:r>
        <w:t xml:space="preserve">O segmento Subformulário é acessado por meio da controladora do sistema, que inclui o recurso Obter subformulário por ID.</w:t>
      </w:r>
    </w:p>
    <w:bookmarkStart w:id="20" w:name="obter-subformulário-por-id"/>
    <w:p>
      <w:pPr>
        <w:pStyle w:val="Heading2"/>
      </w:pPr>
      <w:r>
        <w:t xml:space="preserve">Obter subformulário por ID</w:t>
      </w:r>
    </w:p>
    <w:p>
      <w:pPr>
        <w:pStyle w:val="FirstParagraph"/>
      </w:pPr>
      <w:r>
        <w:t xml:space="preserve">Esse recurso recupera um subformulário pelo ID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http://Archer/platformapi/core/system/subform/*subformid*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0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2025-03-20T20:26:13Z</dcterms:created>
  <dcterms:modified xsi:type="dcterms:W3CDTF">2025-03-20T20:26:13Z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