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d48a0009fff637a3b7b71a1b9deeba25942759d"/>
    <w:p>
      <w:pPr>
        <w:pStyle w:val="Heading1"/>
      </w:pPr>
      <w:r>
        <w:t xml:space="preserve">API de publicações de dados inteligentes</w:t>
      </w:r>
    </w:p>
    <w:p>
      <w:pPr>
        <w:pStyle w:val="FirstParagraph"/>
      </w:pPr>
      <w:r>
        <w:t xml:space="preserve">A API de publicações de dados inteligentes (SDP) recupera um arquivo ZIP exportado para um SDP específico, na forma de um fluxo de conteúdo.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">
        <w:r>
          <w:rPr>
            <w:rStyle w:val="Hyperlink"/>
          </w:rPr>
          <w:t xml:space="preserve">Exemplo</w:t>
        </w:r>
      </w:hyperlink>
    </w:p>
    <w:p>
      <w:pPr>
        <w:pStyle w:val="Compact"/>
        <w:numPr>
          <w:ilvl w:val="1"/>
          <w:numId w:val="1002"/>
        </w:numPr>
      </w:pPr>
      <w:hyperlink w:anchor="Cabe%C3%A7alhodasolicita%C3%A7%C3%A3o">
        <w:r>
          <w:rPr>
            <w:rStyle w:val="Hyperlink"/>
          </w:rPr>
          <w:t xml:space="preserve">Cabeçalho da solicitação</w:t>
        </w:r>
      </w:hyperlink>
    </w:p>
    <w:p>
      <w:pPr>
        <w:pStyle w:val="Compact"/>
        <w:numPr>
          <w:ilvl w:val="1"/>
          <w:numId w:val="1002"/>
        </w:numPr>
      </w:pPr>
      <w:hyperlink w:anchor="Cabe%C3%A7alhoderesposta">
        <w:r>
          <w:rPr>
            <w:rStyle w:val="Hyperlink"/>
          </w:rPr>
          <w:t xml:space="preserve">Cabeçalho de resposta</w:t>
        </w:r>
      </w:hyperlink>
    </w:p>
    <w:bookmarkStart w:id="20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Esta API requer privilégios de leitura para Gerenciar publicação de dados inteligentes, que podem ser encontrados em Funções de Acesso.</w:t>
      </w:r>
    </w:p>
    <w:p>
      <w:pPr>
        <w:pStyle w:val="BodyText"/>
      </w:pPr>
      <w:r>
        <w:rPr>
          <w:b/>
          <w:bCs/>
        </w:rPr>
        <w:t xml:space="preserve">URL.</w:t>
      </w:r>
      <w:r>
        <w:t xml:space="preserve"> </w:t>
      </w:r>
      <w:r>
        <w:t xml:space="preserve">https://archer/api/core/smartdatapublication/download/*sdpid*</w:t>
      </w:r>
    </w:p>
    <w:p>
      <w:pPr>
        <w:pStyle w:val="BodyText"/>
      </w:pPr>
      <w:r>
        <w:rPr>
          <w:b/>
          <w:bCs/>
        </w:rPr>
        <w:t xml:space="preserve">Método.</w:t>
      </w:r>
      <w:r>
        <w:t xml:space="preserve"> </w:t>
      </w:r>
      <w:r>
        <w:t xml:space="preserve">GET</w:t>
      </w:r>
    </w:p>
    <w:p>
      <w:pPr>
        <w:pStyle w:val="BodyText"/>
      </w:pPr>
      <w:r>
        <w:t xml:space="preserve">Recursos.</w:t>
      </w:r>
    </w:p>
    <w:p>
      <w:pPr>
        <w:pStyle w:val="TableCaption"/>
      </w:pPr>
      <w:r>
        <w:t xml:space="preserve">As informações de recursos da API são descritas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s informações de recursos da API são descritas na tabela a segui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Formato da resposta</w:t>
            </w:r>
          </w:p>
        </w:tc>
        <w:tc>
          <w:tcPr/>
          <w:p>
            <w:pPr>
              <w:pStyle w:val="BodyText"/>
            </w:pPr>
            <w:r>
              <w:t xml:space="preserve">Fluxo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Requer autenticação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</w:tbl>
    <w:p>
      <w:pPr>
        <w:pStyle w:val="BodyText"/>
      </w:pPr>
      <w:r>
        <w:rPr>
          <w:b/>
          <w:bCs/>
        </w:rPr>
        <w:t xml:space="preserve">Cabeçalhos de solicitação.</w:t>
      </w:r>
    </w:p>
    <w:p>
      <w:pPr>
        <w:pStyle w:val="TableCaption"/>
      </w:pPr>
      <w:r>
        <w:t xml:space="preserve">Os cabeçalhos de solicitação necessários para a API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cabeçalhos de solicitação necessários para a API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Aceitar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application/octet-stream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Autorização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Archer session-id=sessionToken</w:t>
            </w:r>
          </w:p>
          <w:p>
            <w:pPr>
              <w:pStyle w:val="BodyText"/>
            </w:pPr>
            <w:r>
              <w:t xml:space="preserve">sessionToken é um ID de token de sessão válido para o log-in do usuário d API.</w:t>
            </w:r>
          </w:p>
        </w:tc>
      </w:tr>
    </w:tbl>
    <w:p>
      <w:pPr>
        <w:pStyle w:val="BodyText"/>
      </w:pPr>
      <w:r>
        <w:rPr>
          <w:b/>
          <w:bCs/>
        </w:rPr>
        <w:t xml:space="preserve">Cabeçalhos de resposta.</w:t>
      </w:r>
    </w:p>
    <w:p>
      <w:pPr>
        <w:pStyle w:val="TableCaption"/>
      </w:pPr>
      <w:r>
        <w:t xml:space="preserve">Os cabeçalhos de resposta necessários para a API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cabeçalhos de resposta necessários para a API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Conteúdo-Disposição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O tipo e o nome do arquivo ZIP baixado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zip-crc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CRC do arquivo ZIP baixado para validar a integridade do arquivo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</w:p>
    <w:p>
      <w:pPr>
        <w:pStyle w:val="BodyText"/>
      </w:pPr>
      <w:r>
        <w:t xml:space="preserve">Essa resposta retorna os dados em arquivo como um fluxo. Se a solicitação for bem-sucedida, a resposta retornará um arquivo ZIP exportado para a publicação de dados inteligentes especificada, na forma de um fluxo de conteúdo. A API também retorna o código de status HTTP 200.</w:t>
      </w:r>
    </w:p>
    <w:p>
      <w:pPr>
        <w:pStyle w:val="BodyText"/>
      </w:pPr>
      <w:r>
        <w:t xml:space="preserve">Se a solicitação falhar, a API emitirá uma exceção e retornará 1 dos 2 códigos de status HTTP, 400 – Erro de solicitação ou 500 – Erro interno de servidor.</w:t>
      </w:r>
    </w:p>
    <w:bookmarkEnd w:id="20"/>
    <w:bookmarkStart w:id="23" w:name="Exemplo"/>
    <w:p>
      <w:pPr>
        <w:pStyle w:val="Heading2"/>
      </w:pPr>
      <w:r>
        <w:t xml:space="preserve">Exemplo</w:t>
      </w:r>
    </w:p>
    <w:p>
      <w:pPr>
        <w:pStyle w:val="FirstParagraph"/>
      </w:pPr>
      <w:r>
        <w:t xml:space="preserve">O exemplo a seguir é uma solicitação e resposta da API de publicações de dados inteligentes, que inclui exemplos de respostas bem-sucedidas e com falha. Substitua os espaços reservados abaixo por valores reais.</w:t>
      </w:r>
    </w:p>
    <w:bookmarkStart w:id="21" w:name="Cabeçalhodasolicitação"/>
    <w:p>
      <w:pPr>
        <w:pStyle w:val="Heading3"/>
      </w:pPr>
      <w:r>
        <w:t xml:space="preserve">Cabeçalho da solicitação</w:t>
      </w:r>
    </w:p>
    <w:p>
      <w:pPr>
        <w:pStyle w:val="FirstParagraph"/>
      </w:pPr>
      <w:r>
        <w:t xml:space="preserve">Autorização: Archer session-id="ID de token da sessão de log-in"</w:t>
      </w:r>
    </w:p>
    <w:p>
      <w:pPr>
        <w:pStyle w:val="BodyText"/>
      </w:pPr>
      <w:r>
        <w:t xml:space="preserve">Aceitar: application/octet-stream</w:t>
      </w:r>
    </w:p>
    <w:bookmarkEnd w:id="21"/>
    <w:bookmarkStart w:id="22" w:name="Cabeçalhoderesposta"/>
    <w:p>
      <w:pPr>
        <w:pStyle w:val="Heading3"/>
      </w:pPr>
      <w:r>
        <w:t xml:space="preserve">Cabeçalho de resposta</w:t>
      </w:r>
    </w:p>
    <w:p>
      <w:pPr>
        <w:numPr>
          <w:ilvl w:val="0"/>
          <w:numId w:val="1003"/>
        </w:numPr>
      </w:pPr>
      <w:r>
        <w:t xml:space="preserve">Resposta bem-sucedida da API de publicações de dados inteligentes</w:t>
      </w:r>
    </w:p>
    <w:p>
      <w:pPr>
        <w:numPr>
          <w:ilvl w:val="0"/>
          <w:numId w:val="1000"/>
        </w:numPr>
      </w:pPr>
      <w:r>
        <w:t xml:space="preserve">Conteúdo-Disposição: attachment; filename="Modules_Export_164.zip"</w:t>
      </w:r>
    </w:p>
    <w:p>
      <w:pPr>
        <w:numPr>
          <w:ilvl w:val="0"/>
          <w:numId w:val="1000"/>
        </w:numPr>
      </w:pPr>
      <w:r>
        <w:t xml:space="preserve">zip-crc: 66C42CD5</w:t>
      </w:r>
    </w:p>
    <w:p>
      <w:pPr>
        <w:numPr>
          <w:ilvl w:val="0"/>
          <w:numId w:val="1004"/>
        </w:numPr>
      </w:pPr>
      <w:r>
        <w:t xml:space="preserve">Resposta de falha da API de publicações de dados inteligentes</w:t>
      </w:r>
    </w:p>
    <w:p>
      <w:pPr>
        <w:numPr>
          <w:ilvl w:val="0"/>
          <w:numId w:val="1000"/>
        </w:numPr>
      </w:pPr>
      <w:r>
        <w:t xml:space="preserve">“500 Não foi possível fazer download dos arquivos exportados para a exportação de módulos da publicação de dados inteligentes.”</w:t>
      </w:r>
    </w:p>
    <w:bookmarkEnd w:id="22"/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2025-03-20T20:26:28Z</dcterms:created>
  <dcterms:modified xsi:type="dcterms:W3CDTF">2025-03-20T20:26:28Z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