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pi-de-conteúdo-do-archer-1"/>
    <w:p>
      <w:pPr>
        <w:pStyle w:val="Heading1"/>
      </w:pPr>
      <w:r>
        <w:t xml:space="preserve">API de conteúdo do Archer</w:t>
      </w:r>
    </w:p>
    <w:p>
      <w:pPr>
        <w:pStyle w:val="FirstParagraph"/>
      </w:pPr>
      <w:r>
        <w:t xml:space="preserve">A API de conteúdo do Archer atua como uma camada de conversão que obtém metadados e conteúdo do Archer e os converte em entidades lógicas para que essas entidades possam ser consumidas exatamente como são consumidas por usuários na interface do usuário.</w:t>
      </w:r>
    </w:p>
    <w:p>
      <w:pPr>
        <w:pStyle w:val="BodyText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A interface do usuário é composta por 2 áreas principais:</w:t>
      </w:r>
    </w:p>
    <w:p>
      <w:pPr>
        <w:numPr>
          <w:ilvl w:val="0"/>
          <w:numId w:val="1001"/>
        </w:numPr>
      </w:pPr>
      <w:r>
        <w:t xml:space="preserve">Área do usuário final. Esta área fornece a conversão e apresenta as entidades de risco e conformidade aos usuários finais. Aqui você vê listas de riscos, unidades de negócios e vulnerabilidades.</w:t>
      </w:r>
    </w:p>
    <w:p>
      <w:pPr>
        <w:numPr>
          <w:ilvl w:val="0"/>
          <w:numId w:val="1001"/>
        </w:numPr>
      </w:pPr>
      <w:r>
        <w:t xml:space="preserve">Área do administrador. É o local onde os administradores criam instâncias de objetos de domínio do Archer para representar entidades de risco e conformidade. Veja aqui listas de aplicativos, campos e layouts.</w:t>
      </w:r>
    </w:p>
    <w:p>
      <w:pPr>
        <w:pStyle w:val="FirstParagraph"/>
      </w:pPr>
      <w:r>
        <w:t xml:space="preserve">Os campos de dados de registro geralmente são armazenados em vários locais no banco de dados Archer, mas exibidos na interface do usuário final como dados de campo em uma tela.</w:t>
      </w:r>
    </w:p>
    <w:p>
      <w:pPr>
        <w:pStyle w:val="BodyText"/>
      </w:pPr>
      <w:r>
        <w:t xml:space="preserve">Os dados disponíveis com os quais um usuário da API de conteúdo pode interagir se baseiam nas permissões atribuídas ao token da sessão do usuário.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Na API de conteúdo do Archer, você não pode atualizar um registro de conteúdo com os mesmos valores que estão atualmente no registro. Se você tentar fazer isso, a ação falhará e a mensagem HTTP 400 será exibida.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2025-03-20T20:26:31Z</dcterms:created>
  <dcterms:modified xsi:type="dcterms:W3CDTF">2025-03-20T20:26:31Z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