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obter-endpoints-1"/>
    <w:p>
      <w:pPr>
        <w:pStyle w:val="Heading1"/>
      </w:pPr>
      <w:r>
        <w:t xml:space="preserve">Obter endpoints</w:t>
      </w:r>
    </w:p>
    <w:p>
      <w:pPr>
        <w:pStyle w:val="FirstParagraph"/>
      </w:pPr>
      <w:r>
        <w:t xml:space="preserve">A chamada Obter endpoints retorna todos os níveis e referências cruzadas no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aos quais você tem acesso, além das URLs para acessá-los.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p>
      <w:pPr>
        <w:pStyle w:val="Compact"/>
        <w:numPr>
          <w:ilvl w:val="1"/>
          <w:numId w:val="1002"/>
        </w:numPr>
      </w:pPr>
      <w:hyperlink w:anchor="Exemplodesolicita%C3%A7%C3%A3o">
        <w:r>
          <w:rPr>
            <w:rStyle w:val="Hyperlink"/>
          </w:rPr>
          <w:t xml:space="preserve">Exemplo de solicitação</w:t>
        </w:r>
      </w:hyperlink>
    </w:p>
    <w:p>
      <w:pPr>
        <w:pStyle w:val="Compact"/>
        <w:numPr>
          <w:ilvl w:val="1"/>
          <w:numId w:val="1002"/>
        </w:numPr>
      </w:pPr>
      <w:hyperlink w:anchor="Exemploderesposta">
        <w:r>
          <w:rPr>
            <w:rStyle w:val="Hyperlink"/>
          </w:rPr>
          <w:t xml:space="preserve">Exemplo de resposta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Os resultados desta chamada API variam com base nas permissões de leitura concedidas ao token da sessão que você fornece para a chamada. Se a conta de usuário relacionada ao token da sessão fornecido conseguir ver um nível na interface do usuário do</w:t>
      </w:r>
      <w:r>
        <w:t xml:space="preserve"> </w:t>
      </w:r>
      <w:r>
        <w:t xml:space="preserve">Archer</w:t>
      </w:r>
      <w:r>
        <w:t xml:space="preserve">, você verá os mesmos níveis retornados pela API de conteúdo.</w:t>
      </w:r>
    </w:p>
    <w:p>
      <w:pPr>
        <w:pStyle w:val="BodyText"/>
      </w:pPr>
      <w:r>
        <w:rPr>
          <w:b/>
          <w:bCs/>
        </w:rPr>
        <w:t xml:space="preserve">URL.</w:t>
      </w:r>
      <w:r>
        <w:t xml:space="preserve"> </w:t>
      </w:r>
      <w:r>
        <w:t xml:space="preserve">localhost/Archer/contentapi/</w:t>
      </w:r>
    </w:p>
    <w:p>
      <w:pPr>
        <w:pStyle w:val="BodyText"/>
      </w:pPr>
      <w:r>
        <w:rPr>
          <w:b/>
          <w:bCs/>
        </w:rPr>
        <w:t xml:space="preserve">Método.</w:t>
      </w:r>
      <w:r>
        <w:t xml:space="preserve"> </w:t>
      </w:r>
      <w:r>
        <w:t xml:space="preserve">GET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 parâmetro da chamada Obter endpoints é descrito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 parâmetro da chamada Obter endpoints é descrito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Archer</w:t>
            </w:r>
            <w:r>
              <w:br/>
            </w:r>
            <w:r>
              <w:t xml:space="preserve">session-id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de token de sessão válida para o usuário da API de conteúdo. Para obter mais informações, 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Obter o ID de sessão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Se a chamada for bem-sucedida, a API retornará um array de JSON. Se houver uma falha, a API emitirá uma exceção.</w:t>
      </w:r>
    </w:p>
    <w:bookmarkEnd w:id="21"/>
    <w:bookmarkStart w:id="24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Veja a seguir um exemplo de solicitação e resposta.</w:t>
      </w:r>
    </w:p>
    <w:bookmarkStart w:id="22" w:name="Exemplodesolicitação"/>
    <w:p>
      <w:pPr>
        <w:pStyle w:val="Heading3"/>
      </w:pPr>
      <w:r>
        <w:t xml:space="preserve">Exemplo de solicitação</w:t>
      </w:r>
    </w:p>
    <w:p>
      <w:pPr>
        <w:pStyle w:val="FirstParagraph"/>
      </w:pPr>
      <w:r>
        <w:t xml:space="preserve">GET /Archer/contentapi/ HTTP/1.1</w:t>
      </w:r>
    </w:p>
    <w:p>
      <w:pPr>
        <w:pStyle w:val="BodyText"/>
      </w:pPr>
      <w:r>
        <w:t xml:space="preserve">Host: localhost</w:t>
      </w:r>
    </w:p>
    <w:p>
      <w:pPr>
        <w:pStyle w:val="BodyText"/>
      </w:pPr>
      <w:r>
        <w:t xml:space="preserve">Authorization: Archer session-id=E5E1CEEDA26A199FE2CAE99755CB71DA</w:t>
      </w:r>
    </w:p>
    <w:p>
      <w:pPr>
        <w:pStyle w:val="BodyText"/>
      </w:pPr>
      <w:r>
        <w:t xml:space="preserve">Cache-Control: no-cache</w:t>
      </w:r>
    </w:p>
    <w:bookmarkEnd w:id="22"/>
    <w:bookmarkStart w:id="23" w:name="Exemploderesposta"/>
    <w:p>
      <w:pPr>
        <w:pStyle w:val="Heading3"/>
      </w:pPr>
      <w:r>
        <w:t xml:space="preserve">Exemplo de resposta</w:t>
      </w:r>
    </w:p>
    <w:p>
      <w:pPr>
        <w:pStyle w:val="FirstParagraph"/>
      </w:pPr>
      <w:r>
        <w:t xml:space="preserve">{</w:t>
      </w:r>
    </w:p>
    <w:p>
      <w:pPr>
        <w:numPr>
          <w:ilvl w:val="0"/>
          <w:numId w:val="1003"/>
        </w:numPr>
      </w:pPr>
      <w:r>
        <w:t xml:space="preserve">"@odata.context": "localhost/Archer/contentapi/$metadata/$metadata",</w:t>
      </w:r>
    </w:p>
    <w:p>
      <w:pPr>
        <w:numPr>
          <w:ilvl w:val="0"/>
          <w:numId w:val="1000"/>
        </w:numPr>
      </w:pPr>
      <w:r>
        <w:t xml:space="preserve">“value”: [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4"/>
        </w:numPr>
      </w:pPr>
      <w:r>
        <w:t xml:space="preserve">“name” : “_4th_Party”,</w:t>
      </w:r>
    </w:p>
    <w:p>
      <w:pPr>
        <w:numPr>
          <w:ilvl w:val="1"/>
          <w:numId w:val="1000"/>
        </w:numPr>
      </w:pPr>
      <w:r>
        <w:t xml:space="preserve">“kind” : “EntitySet”,</w:t>
      </w:r>
    </w:p>
    <w:p>
      <w:pPr>
        <w:numPr>
          <w:ilvl w:val="1"/>
          <w:numId w:val="1000"/>
        </w:numPr>
      </w:pPr>
      <w:r>
        <w:t xml:space="preserve">“url” : “_4th_Party”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5"/>
        </w:numPr>
      </w:pPr>
      <w:r>
        <w:t xml:space="preserve">“name” : “_4th_Party_Vendor_Relationships”,</w:t>
      </w:r>
    </w:p>
    <w:p>
      <w:pPr>
        <w:numPr>
          <w:ilvl w:val="1"/>
          <w:numId w:val="1000"/>
        </w:numPr>
      </w:pPr>
      <w:r>
        <w:t xml:space="preserve">“kind” : “EntitySet”,</w:t>
      </w:r>
    </w:p>
    <w:p>
      <w:pPr>
        <w:numPr>
          <w:ilvl w:val="1"/>
          <w:numId w:val="1000"/>
        </w:numPr>
      </w:pPr>
      <w:r>
        <w:t xml:space="preserve">“url” : “_4th_Party_Vendor_Relationships”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6"/>
        </w:numPr>
      </w:pPr>
      <w:r>
        <w:t xml:space="preserve">“name” : “Account_Scoping”,</w:t>
      </w:r>
    </w:p>
    <w:p>
      <w:pPr>
        <w:numPr>
          <w:ilvl w:val="1"/>
          <w:numId w:val="1000"/>
        </w:numPr>
      </w:pPr>
      <w:r>
        <w:t xml:space="preserve">“kind” : “EntitySet”,</w:t>
      </w:r>
    </w:p>
    <w:p>
      <w:pPr>
        <w:numPr>
          <w:ilvl w:val="1"/>
          <w:numId w:val="1000"/>
        </w:numPr>
      </w:pPr>
      <w:r>
        <w:t xml:space="preserve">“url” : “Account_Scoping”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7"/>
        </w:numPr>
      </w:pPr>
      <w:r>
        <w:t xml:space="preserve">“name” : “Account_Scoping_Target”,</w:t>
      </w:r>
    </w:p>
    <w:p>
      <w:pPr>
        <w:numPr>
          <w:ilvl w:val="1"/>
          <w:numId w:val="1000"/>
        </w:numPr>
      </w:pPr>
      <w:r>
        <w:t xml:space="preserve">“kind” : “EntitySet”,</w:t>
      </w:r>
    </w:p>
    <w:p>
      <w:pPr>
        <w:numPr>
          <w:ilvl w:val="1"/>
          <w:numId w:val="1000"/>
        </w:numPr>
      </w:pPr>
      <w:r>
        <w:t xml:space="preserve">“url” : “Account_Scoping_Target”</w:t>
      </w:r>
    </w:p>
    <w:p>
      <w:pPr>
        <w:numPr>
          <w:ilvl w:val="0"/>
          <w:numId w:val="1000"/>
        </w:numPr>
      </w:pPr>
      <w:r>
        <w:t xml:space="preserve">},</w:t>
      </w:r>
    </w:p>
    <w:p>
      <w:pPr>
        <w:numPr>
          <w:ilvl w:val="0"/>
          <w:numId w:val="1000"/>
        </w:numPr>
      </w:pPr>
      <w:r>
        <w:t xml:space="preserve">{</w:t>
      </w:r>
    </w:p>
    <w:p>
      <w:pPr>
        <w:numPr>
          <w:ilvl w:val="1"/>
          <w:numId w:val="1008"/>
        </w:numPr>
      </w:pPr>
      <w:r>
        <w:t xml:space="preserve">“name” : “Applications”,</w:t>
      </w:r>
    </w:p>
    <w:p>
      <w:pPr>
        <w:numPr>
          <w:ilvl w:val="1"/>
          <w:numId w:val="1000"/>
        </w:numPr>
      </w:pPr>
      <w:r>
        <w:t xml:space="preserve">“kind” : “EntitySet”,</w:t>
      </w:r>
    </w:p>
    <w:p>
      <w:pPr>
        <w:numPr>
          <w:ilvl w:val="1"/>
          <w:numId w:val="1000"/>
        </w:numPr>
      </w:pPr>
      <w:r>
        <w:t xml:space="preserve">“url” : “Applications”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]</w:t>
      </w:r>
    </w:p>
    <w:p>
      <w:pPr>
        <w:pStyle w:val="FirstParagraph"/>
      </w:pPr>
      <w:r>
        <w:t xml:space="preserve">}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Cada ambiente do</w:t>
      </w:r>
      <w:r>
        <w:t xml:space="preserve"> </w:t>
      </w:r>
      <w:r>
        <w:t xml:space="preserve">Archer</w:t>
      </w:r>
      <w:r>
        <w:t xml:space="preserve"> </w:t>
      </w:r>
      <w:r>
        <w:t xml:space="preserve">é altamente personalizado para as necessidades individuais de seus negócios. A resposta real que você recebe de seu ambiente pode ser muito diferente dos exemplos mostrados.</w:t>
      </w:r>
    </w:p>
    <w:bookmarkEnd w:id="23"/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ontentapi_obtain_session_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ontentapi_obtain_session_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2025-03-20T20:26:38Z</dcterms:created>
  <dcterms:modified xsi:type="dcterms:W3CDTF">2025-03-20T20:26:38Z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