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acessar-a-api-de-web-services-1"/>
    <w:p>
      <w:pPr>
        <w:pStyle w:val="Heading1"/>
      </w:pPr>
      <w:r>
        <w:t xml:space="preserve">Acessar a API de Web Services</w:t>
      </w:r>
    </w:p>
    <w:p>
      <w:pPr>
        <w:pStyle w:val="FirstParagraph"/>
      </w:pPr>
      <w:r>
        <w:t xml:space="preserve">Você pode acessar cada web service por meio de um arquivo. asmx usando o nome de serviço — por exemplo, search.asmx. Os arquivos se localizam no diretório ws a partir do diretório raiz do aplicativo</w:t>
      </w:r>
      <w:r>
        <w:t xml:space="preserve"> </w:t>
      </w:r>
      <w:r>
        <w:t xml:space="preserve">Archer</w:t>
      </w:r>
      <w:r>
        <w:t xml:space="preserve"> </w:t>
      </w:r>
      <w:r>
        <w:t xml:space="preserve">(no IIS).</w:t>
      </w:r>
    </w:p>
    <w:p>
      <w:pPr>
        <w:pStyle w:val="BodyText"/>
      </w:pPr>
      <w:r>
        <w:t xml:space="preserve">A API de Web Services se comunica usando SOAP, HTTP POST e HTTP GETs.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ntesdecome%C3%A7ar">
        <w:r>
          <w:rPr>
            <w:rStyle w:val="Hyperlink"/>
          </w:rPr>
          <w:t xml:space="preserve">Antes de começar</w:t>
        </w:r>
      </w:hyperlink>
    </w:p>
    <w:p>
      <w:pPr>
        <w:pStyle w:val="Compact"/>
        <w:numPr>
          <w:ilvl w:val="0"/>
          <w:numId w:val="1001"/>
        </w:numPr>
      </w:pPr>
      <w:hyperlink w:anchor="Procedimento">
        <w:r>
          <w:rPr>
            <w:rStyle w:val="Hyperlink"/>
          </w:rPr>
          <w:t xml:space="preserve">Procedimento</w:t>
        </w:r>
      </w:hyperlink>
    </w:p>
    <w:bookmarkStart w:id="21" w:name="Antesdecomeçar"/>
    <w:p>
      <w:pPr>
        <w:pStyle w:val="Heading2"/>
      </w:pPr>
      <w:r>
        <w:t xml:space="preserve">Antes de começar</w:t>
      </w:r>
    </w:p>
    <w:p>
      <w:pPr>
        <w:pStyle w:val="FirstParagraph"/>
      </w:pPr>
      <w:r>
        <w:t xml:space="preserve">Se você não estiver familiarizado com serviços Web, consulte outros recursos, por exemplo:</w:t>
      </w:r>
      <w:r>
        <w:t xml:space="preserve"> </w:t>
      </w:r>
      <w:hyperlink r:id="rId20">
        <w:r>
          <w:rPr>
            <w:rStyle w:val="Hyperlink"/>
          </w:rPr>
          <w:t xml:space="preserve">http://www.w3schools.com/xml/xml_services.asp</w:t>
        </w:r>
      </w:hyperlink>
      <w:r>
        <w:t xml:space="preserve">.</w:t>
      </w:r>
    </w:p>
    <w:bookmarkEnd w:id="21"/>
    <w:bookmarkStart w:id="28" w:name="Procedimento"/>
    <w:p>
      <w:pPr>
        <w:pStyle w:val="Heading2"/>
      </w:pPr>
      <w:r>
        <w:t xml:space="preserve">Procedimento</w:t>
      </w:r>
    </w:p>
    <w:p>
      <w:pPr>
        <w:pStyle w:val="Compact"/>
        <w:numPr>
          <w:ilvl w:val="0"/>
          <w:numId w:val="1002"/>
        </w:numPr>
      </w:pPr>
      <w:r>
        <w:t xml:space="preserve">No servidor Windows que executa a plataforma</w:t>
      </w:r>
      <w:r>
        <w:t xml:space="preserve"> </w:t>
      </w:r>
      <w:r>
        <w:t xml:space="preserve">Archer</w:t>
      </w:r>
      <w:r>
        <w:t xml:space="preserve">, abra o Gerenciador de serviços de informações da Internet (IIS, Internet Information Services).</w:t>
      </w:r>
    </w:p>
    <w:p>
      <w:pPr>
        <w:numPr>
          <w:ilvl w:val="0"/>
          <w:numId w:val="1002"/>
        </w:numPr>
      </w:pPr>
      <w:r>
        <w:t xml:space="preserve">Acesse o diretório ws localizado no diretório raiz do aplicativo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Exemplo: Internet Information Services &gt; Computador local &gt; Sites &gt;Site padrão &gt; Archer &gt; ws.</w:t>
      </w:r>
    </w:p>
    <w:p>
      <w:pPr>
        <w:numPr>
          <w:ilvl w:val="0"/>
          <w:numId w:val="1002"/>
        </w:numPr>
      </w:pPr>
      <w:r>
        <w:t xml:space="preserve">Abra o arquivo .asmx do serviço Web que você deseja acessar.</w:t>
      </w:r>
    </w:p>
    <w:p>
      <w:pPr>
        <w:numPr>
          <w:ilvl w:val="0"/>
          <w:numId w:val="1000"/>
        </w:numPr>
      </w:pPr>
      <w:r>
        <w:t xml:space="preserve">O exemplo a seguir mostra o web service Geral.</w:t>
      </w:r>
    </w:p>
    <w:p>
      <w:pPr>
        <w:numPr>
          <w:ilvl w:val="0"/>
          <w:numId w:val="1000"/>
        </w:numPr>
      </w:pPr>
      <w:r>
        <w:drawing>
          <wp:inline>
            <wp:extent cx="5334000" cy="2692160"/>
            <wp:effectExtent b="0" l="0" r="0" t="0"/>
            <wp:docPr descr="Serviço Web geral" title="Serviço Web geral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f82a80ebdd415da70109c1d8a47c35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Clique em um método para acessar um formulário de teste, juntamente com exemplos de solicitações de código e respostas.</w:t>
      </w:r>
    </w:p>
    <w:p>
      <w:pPr>
        <w:numPr>
          <w:ilvl w:val="0"/>
          <w:numId w:val="1000"/>
        </w:numPr>
      </w:pPr>
      <w:r>
        <w:t xml:space="preserve">O exemplo a seguir mostra um formulário de teste.</w:t>
      </w:r>
    </w:p>
    <w:p>
      <w:pPr>
        <w:numPr>
          <w:ilvl w:val="0"/>
          <w:numId w:val="1000"/>
        </w:numPr>
      </w:pPr>
      <w:r>
        <w:drawing>
          <wp:inline>
            <wp:extent cx="5334000" cy="3695341"/>
            <wp:effectExtent b="0" l="0" r="0" t="0"/>
            <wp:docPr descr="Forma de operação" title="Forma de operação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f5a83e3573348c1e3139dc22072927a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0" Target="http://www.w3schools.com/xml/xml_services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w3schools.com/xml/xml_services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2025-03-20T20:27:02Z</dcterms:created>
  <dcterms:modified xsi:type="dcterms:W3CDTF">2025-03-20T20:27:02Z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