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761986ae8d2c1e0e2502bc3825a431479326fab"/>
    <w:p>
      <w:pPr>
        <w:pStyle w:val="Heading1"/>
      </w:pPr>
      <w:r>
        <w:t xml:space="preserve">Gerenciamento de riscos de terceiros do</w:t>
      </w:r>
      <w:r>
        <w:t xml:space="preserve"> </w:t>
      </w:r>
      <w:bookmarkStart w:id="20" w:name="aanchor0"/>
      <w:bookmarkEnd w:id="20"/>
      <w:r>
        <w:t xml:space="preserve">Archer</w:t>
      </w:r>
      <w:r>
        <w:t xml:space="preserve"> </w:t>
      </w:r>
      <w:r>
        <w:t xml:space="preserve">6.13</w:t>
      </w:r>
    </w:p>
    <w:p>
      <w:pPr>
        <w:pStyle w:val="FirstParagraph"/>
      </w:pPr>
      <w:r>
        <w:t xml:space="preserve">O Gerenciamento de riscos de terceiros do</w:t>
      </w:r>
      <w:r>
        <w:t xml:space="preserve"> </w:t>
      </w:r>
      <w:r>
        <w:t xml:space="preserve">Archer</w:t>
      </w:r>
      <w:r>
        <w:t xml:space="preserve"> </w:t>
      </w:r>
      <w:r>
        <w:t xml:space="preserve">utiliza uma série de questionários de avaliação de riscos para terceiros, permitindo que a organização avalie os controles internos deles e colete a documentação de apoio relevante para análise posterior. Os resultados do questionário são levados em conta na determinação do risco residual de cada projeto entregue pelo terceiro.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8be0dba7c338a784c9277d76a5fb12fa70c1c4">
        <w:r>
          <w:rPr>
            <w:rStyle w:val="Hyperlink"/>
          </w:rPr>
          <w:t xml:space="preserve">Benefícios do Gerenciamento de riscos de terceiros</w:t>
        </w:r>
      </w:hyperlink>
    </w:p>
    <w:p>
      <w:pPr>
        <w:pStyle w:val="Compact"/>
        <w:numPr>
          <w:ilvl w:val="0"/>
          <w:numId w:val="1001"/>
        </w:numPr>
      </w:pPr>
      <w:hyperlink w:anchor="X785dcbebbf238854efa85ae1e270838f741c2f9">
        <w:r>
          <w:rPr>
            <w:rStyle w:val="Hyperlink"/>
          </w:rPr>
          <w:t xml:space="preserve">Como o Gerenciamento de riscos de terceiros se enquadra em um programa de risco e conformidade</w:t>
        </w:r>
      </w:hyperlink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1"/>
          <w:numId w:val="1002"/>
        </w:numPr>
      </w:pPr>
      <w:hyperlink w:anchor="X4c9f0ed4225641c1ff1d4f7f9a8426f7ce40e4b">
        <w:r>
          <w:rPr>
            <w:rStyle w:val="Hyperlink"/>
          </w:rPr>
          <w:t xml:space="preserve">Casos de uso relacionados em outras áreas de solução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d81e079b5001e19bf63f0fa5a88ad6aac5ecfc1"/>
    <w:p>
      <w:pPr>
        <w:pStyle w:val="Heading2"/>
      </w:pPr>
      <w:r>
        <w:t xml:space="preserve">Benefícios do Gerenciamento de riscos de terceiros</w:t>
      </w:r>
    </w:p>
    <w:p>
      <w:pPr>
        <w:pStyle w:val="FirstParagraph"/>
      </w:pPr>
      <w:r>
        <w:t xml:space="preserve">O risco residual é avaliado em várias categorias de risco: conformidade/litígio, financeiro, segurança das informações, reputação, resiliência, estratégico, sustentabilidade e risco de quarta parte. Os resultados de risco são discriminados para cada projeto e distribuídos ao terceiro correspondente para obter uma visão geral do risco "agregado" do terceiro para a organização. Os resultados da avaliação de riscos podem ser capturados automaticamente e gerenciados como exceções. Os planos de remediação podem ser definidos, atribuídos aos responsáveis e monitorados quanto à resolução.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6" w:name="X785dcbebbf238854efa85ae1e270838f741c2f9"/>
    <w:p>
      <w:pPr>
        <w:pStyle w:val="Heading2"/>
      </w:pPr>
      <w:r>
        <w:t xml:space="preserve">Como o Gerenciamento de riscos de terceiros se enquadra em um programa de risco e conformidade</w:t>
      </w:r>
    </w:p>
    <w:p>
      <w:pPr>
        <w:pStyle w:val="FirstParagraph"/>
      </w:pPr>
      <w:r>
        <w:t xml:space="preserve">Gerenciamento de riscos de terceiros é um caso de uso na área de solução Governança de terceiros. As seções a seguir descrevem os casos de uso exigidos pelo Gerenciamento de riscos de terceiros como pré-requisito, para os quais você pode fazer upgrade quando seu programa de governança de terceiros amadurecer, e que podem ser integrados em outras áreas de soluções para a obtenção de outros contextos e funcionalidades de negócios.</w:t>
      </w:r>
    </w:p>
    <w:bookmarkStart w:id="23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O diagrama a seguir mostra como este caso de uso se ajusta à área de solução geral Governança de terceiros.</w:t>
      </w:r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O diagrama a seguir mostra como este caso de uso se ajusta à área de solução geral Governança de terceiros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/>
          <w:p>
            <w:pPr>
              <w:pStyle w:val="BodyText"/>
            </w:pPr>
            <w:r>
              <w:t xml:space="preserve">Projetos de terceiros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Documentar a terceiros, subsidiárias e subsidiárias secundárias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Monitorar projetos de terceiros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Gerenciar o ciclo de vida dos contratos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Avaliar o ambiente de controle interno do terceiro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Coletar a documentação de suporte relevante para análise posterior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Determinar o risco residual da organização em várias categorias de risco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Avalie as práticas ambientais, sociais e de governança do terceiro.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Catalogar os produtos e serviço de terceiros e associar os projetos aos processos de negócios que eles apoiam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Solicitar serviços e produtos de terceiros e avaliar e gerenciar solicitações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Fazer avaliações de riscos inerentes e projetos em sete categorias de risco diferentes e implementar os resultados em um perfil geral de riscos de terceiros.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Capturar e analisar relações de quartas partes relevantes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Analisar a viabilidade financeira de cada terceiro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Catalogar contratos de serviços master associados aos projetos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Fazer avaliações de riscos dos contratos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Capturar a prova de seguro do terceiro e avaliar a adequação do seguro</w:t>
            </w:r>
          </w:p>
          <w:p>
            <w:pPr>
              <w:pStyle w:val="FirstParagraph"/>
            </w:pPr>
            <w:r>
              <w:t xml:space="preserve">Governança de terceiros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Defina e documente a medição de desempenho de terceiros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Rastreie todas as medições do acordo de nível de serviço (SLA, service level agreement) contratual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Capturar dados de medição de desempenho e gerar relatórios sobre o desempenho de projetos individuais</w:t>
            </w:r>
          </w:p>
        </w:tc>
      </w:tr>
    </w:tbl>
    <w:bookmarkEnd w:id="23"/>
    <w:bookmarkStart w:id="25" w:name="X95bed792086d043729f2014098ef2ba58526a7a"/>
    <w:p>
      <w:pPr>
        <w:pStyle w:val="Heading3"/>
      </w:pPr>
      <w:r>
        <w:t xml:space="preserve">Casos de uso relacionados em outras áreas de solução</w:t>
      </w:r>
    </w:p>
    <w:p>
      <w:pPr>
        <w:pStyle w:val="TableCaption"/>
      </w:pPr>
      <w:r>
        <w:t xml:space="preserve">A tabela a seguir mostra os casos de uso em outras áreas de solução que você pode integrar para fins de contexto e funcionalidade de negócios adicionais.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4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casos de uso em outras áreas de solução que você pode integrar para fins de contexto e funcionalidade de negócios adicionais.Para obter informações sobre estes casos de uso do Archer, consulte a Ajuda das soluções Arch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 do aplicativo</w:t>
            </w:r>
          </w:p>
        </w:tc>
        <w:tc>
          <w:tcPr/>
          <w:p>
            <w:pPr>
              <w:pStyle w:val="BodyText"/>
            </w:pPr>
            <w:r>
              <w:t xml:space="preserve">Principal finalidade da relação</w:t>
            </w:r>
          </w:p>
        </w:tc>
        <w:tc>
          <w:tcPr/>
          <w:p>
            <w:pPr>
              <w:pStyle w:val="BodyText"/>
            </w:pPr>
            <w:r>
              <w:t xml:space="preserve">Nome do caso de uso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Exiba todos os incidentes relacionados a seus terceiros.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/>
          <w:p>
            <w:pPr>
              <w:pStyle w:val="BodyText"/>
            </w:pPr>
            <w:r>
              <w:t xml:space="preserve">Visualize todos os eventos de perda relacionados a projetos de terceiros.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</w:tr>
    </w:tbl>
    <w:bookmarkEnd w:id="25"/>
    <w:bookmarkEnd w:id="26"/>
    <w:bookmarkStart w:id="30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Saiba como funciona o caso de uso</w:t>
        </w:r>
      </w:hyperlink>
    </w:p>
    <w:p>
      <w:pPr>
        <w:pStyle w:val="Compact"/>
        <w:numPr>
          <w:ilvl w:val="0"/>
          <w:numId w:val="1007"/>
        </w:numPr>
      </w:pPr>
      <w:hyperlink r:id="rId29">
        <w:r>
          <w:rPr>
            <w:rStyle w:val="Hyperlink"/>
          </w:rPr>
          <w:t xml:space="preserve">Instalar e configurar o caso de uso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7" Target="tpg_tprm_design.htm" TargetMode="External" /><Relationship Type="http://schemas.openxmlformats.org/officeDocument/2006/relationships/hyperlink" Id="rId29" Target="tpg_tprm_installing.htm" TargetMode="External" /><Relationship Type="http://schemas.openxmlformats.org/officeDocument/2006/relationships/hyperlink" Id="rId28" Target="tpg_tprm_us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7" Target="tpg_tprm_design.htm" TargetMode="External" /><Relationship Type="http://schemas.openxmlformats.org/officeDocument/2006/relationships/hyperlink" Id="rId29" Target="tpg_tprm_installing.htm" TargetMode="External" /><Relationship Type="http://schemas.openxmlformats.org/officeDocument/2006/relationships/hyperlink" Id="rId28" Target="tpg_tprm_us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2025-03-24T03:58:14Z</dcterms:created>
  <dcterms:modified xsi:type="dcterms:W3CDTF">2025-03-24T03:58:14Z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