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mc-main-content"/>
    <w:bookmarkStart w:id="61" w:name="X2a3192287e276cbe995576ab3fc4e2c1a624515"/>
    <w:p>
      <w:pPr>
        <w:pStyle w:val="Heading1"/>
      </w:pPr>
      <w:r>
        <w:t xml:space="preserve">Archer Exchange Announcement - November 2024</w:t>
      </w:r>
    </w:p>
    <w:p>
      <w:pPr>
        <w:pStyle w:val="FirstParagraph"/>
      </w:pPr>
      <w:r>
        <w:t xml:space="preserve">Archer Announces Availability of Archer Exchange Release for November 2024.</w:t>
      </w:r>
    </w:p>
    <w:p>
      <w:pPr>
        <w:pStyle w:val="BodyText"/>
      </w:pPr>
      <w:r>
        <w:t xml:space="preserve">Join the</w:t>
      </w:r>
      <w:r>
        <w:t xml:space="preserve"> </w:t>
      </w:r>
      <w:hyperlink r:id="rId20">
        <w:r>
          <w:rPr>
            <w:rStyle w:val="Hyperlink"/>
          </w:rPr>
          <w:t xml:space="preserve">Archer Exchange Announcements</w:t>
        </w:r>
      </w:hyperlink>
      <w:r>
        <w:t xml:space="preserve"> </w:t>
      </w:r>
      <w:r>
        <w:t xml:space="preserve">group in the Archer Community to stay up to date with the latest information about the Archer Exchange.</w:t>
      </w:r>
    </w:p>
    <w:p>
      <w:pPr>
        <w:pStyle w:val="BodyText"/>
      </w:pPr>
      <w:r>
        <w:t xml:space="preserve">On this page</w:t>
      </w:r>
    </w:p>
    <w:p>
      <w:pPr>
        <w:pStyle w:val="Compact"/>
        <w:numPr>
          <w:ilvl w:val="0"/>
          <w:numId w:val="1001"/>
        </w:numPr>
      </w:pPr>
      <w:hyperlink w:anchor="Summary">
        <w:r>
          <w:rPr>
            <w:rStyle w:val="Hyperlink"/>
          </w:rPr>
          <w:t xml:space="preserve">Summary</w:t>
        </w:r>
      </w:hyperlink>
    </w:p>
    <w:p>
      <w:pPr>
        <w:pStyle w:val="Compact"/>
        <w:numPr>
          <w:ilvl w:val="0"/>
          <w:numId w:val="1001"/>
        </w:numPr>
      </w:pPr>
      <w:hyperlink w:anchor="Offerings">
        <w:r>
          <w:rPr>
            <w:rStyle w:val="Hyperlink"/>
          </w:rPr>
          <w:t xml:space="preserve">Offerings</w:t>
        </w:r>
      </w:hyperlink>
    </w:p>
    <w:p>
      <w:pPr>
        <w:pStyle w:val="Compact"/>
        <w:numPr>
          <w:ilvl w:val="1"/>
          <w:numId w:val="1002"/>
        </w:numPr>
      </w:pPr>
      <w:hyperlink w:anchor="Accelerators">
        <w:r>
          <w:rPr>
            <w:rStyle w:val="Hyperlink"/>
          </w:rPr>
          <w:t xml:space="preserve">Accelerators</w:t>
        </w:r>
      </w:hyperlink>
    </w:p>
    <w:p>
      <w:pPr>
        <w:pStyle w:val="Compact"/>
        <w:numPr>
          <w:ilvl w:val="1"/>
          <w:numId w:val="1002"/>
        </w:numPr>
      </w:pPr>
      <w:hyperlink w:anchor="AppPacks">
        <w:r>
          <w:rPr>
            <w:rStyle w:val="Hyperlink"/>
          </w:rPr>
          <w:t xml:space="preserve">App-Packs</w:t>
        </w:r>
      </w:hyperlink>
    </w:p>
    <w:p>
      <w:pPr>
        <w:pStyle w:val="Compact"/>
        <w:numPr>
          <w:ilvl w:val="1"/>
          <w:numId w:val="1002"/>
        </w:numPr>
      </w:pPr>
      <w:hyperlink w:anchor="Content">
        <w:r>
          <w:rPr>
            <w:rStyle w:val="Hyperlink"/>
          </w:rPr>
          <w:t xml:space="preserve">Content</w:t>
        </w:r>
      </w:hyperlink>
    </w:p>
    <w:p>
      <w:pPr>
        <w:pStyle w:val="Compact"/>
        <w:numPr>
          <w:ilvl w:val="1"/>
          <w:numId w:val="1002"/>
        </w:numPr>
      </w:pPr>
      <w:hyperlink w:anchor="Integrations">
        <w:r>
          <w:rPr>
            <w:rStyle w:val="Hyperlink"/>
          </w:rPr>
          <w:t xml:space="preserve">Integrations</w:t>
        </w:r>
      </w:hyperlink>
    </w:p>
    <w:p>
      <w:pPr>
        <w:pStyle w:val="Compact"/>
        <w:numPr>
          <w:ilvl w:val="1"/>
          <w:numId w:val="1002"/>
        </w:numPr>
      </w:pPr>
      <w:hyperlink w:anchor="ToolsUtilities">
        <w:r>
          <w:rPr>
            <w:rStyle w:val="Hyperlink"/>
          </w:rPr>
          <w:t xml:space="preserve">Tools &amp; Utilities</w:t>
        </w:r>
      </w:hyperlink>
    </w:p>
    <w:p>
      <w:pPr>
        <w:pStyle w:val="Compact"/>
        <w:numPr>
          <w:ilvl w:val="0"/>
          <w:numId w:val="1001"/>
        </w:numPr>
      </w:pPr>
      <w:hyperlink w:anchor="EndofProductSupportPolicy">
        <w:r>
          <w:rPr>
            <w:rStyle w:val="Hyperlink"/>
          </w:rPr>
          <w:t xml:space="preserve">End of Product Support Policy</w:t>
        </w:r>
      </w:hyperlink>
    </w:p>
    <w:p>
      <w:pPr>
        <w:pStyle w:val="Compact"/>
        <w:numPr>
          <w:ilvl w:val="0"/>
          <w:numId w:val="1001"/>
        </w:numPr>
      </w:pPr>
      <w:hyperlink w:anchor="Blogs">
        <w:r>
          <w:rPr>
            <w:rStyle w:val="Hyperlink"/>
          </w:rPr>
          <w:t xml:space="preserve">Blogs</w:t>
        </w:r>
      </w:hyperlink>
    </w:p>
    <w:p>
      <w:pPr>
        <w:pStyle w:val="Compact"/>
        <w:numPr>
          <w:ilvl w:val="0"/>
          <w:numId w:val="1001"/>
        </w:numPr>
      </w:pPr>
      <w:hyperlink w:anchor="FreeFridayTechHuddles">
        <w:r>
          <w:rPr>
            <w:rStyle w:val="Hyperlink"/>
          </w:rPr>
          <w:t xml:space="preserve">Free Friday Tech Huddles</w:t>
        </w:r>
      </w:hyperlink>
    </w:p>
    <w:p>
      <w:pPr>
        <w:pStyle w:val="Compact"/>
        <w:numPr>
          <w:ilvl w:val="0"/>
          <w:numId w:val="1001"/>
        </w:numPr>
      </w:pPr>
      <w:hyperlink w:anchor="Resources">
        <w:r>
          <w:rPr>
            <w:rStyle w:val="Hyperlink"/>
          </w:rPr>
          <w:t xml:space="preserve">Resources</w:t>
        </w:r>
      </w:hyperlink>
    </w:p>
    <w:bookmarkStart w:id="21" w:name="Summary"/>
    <w:p>
      <w:pPr>
        <w:pStyle w:val="Heading2"/>
      </w:pPr>
      <w:r>
        <w:t xml:space="preserve">Summary</w:t>
      </w:r>
    </w:p>
    <w:p>
      <w:pPr>
        <w:pStyle w:val="FirstParagraph"/>
      </w:pPr>
      <w:r>
        <w:t xml:space="preserve">Archer announces the availability of the November 2024 Archer Exchange Release. This update contains the following new and updated offerings via the Archer Exchange.</w:t>
      </w:r>
    </w:p>
    <w:bookmarkEnd w:id="21"/>
    <w:bookmarkStart w:id="43" w:name="Offerings"/>
    <w:p>
      <w:pPr>
        <w:pStyle w:val="Heading2"/>
      </w:pPr>
      <w:r>
        <w:t xml:space="preserve">Offerings</w:t>
      </w:r>
    </w:p>
    <w:bookmarkStart w:id="23" w:name="Accelerators"/>
    <w:p>
      <w:pPr>
        <w:pStyle w:val="Heading3"/>
      </w:pPr>
      <w:r>
        <w:t xml:space="preserve">Accelerators</w:t>
      </w:r>
    </w:p>
    <w:p>
      <w:pPr>
        <w:numPr>
          <w:ilvl w:val="0"/>
          <w:numId w:val="1003"/>
        </w:numPr>
      </w:pPr>
      <w:hyperlink r:id="rId22">
        <w:r>
          <w:rPr>
            <w:rStyle w:val="Hyperlink"/>
          </w:rPr>
          <w:t xml:space="preserve">Karta NERC Critical Infrastructure Protection (CIP)</w:t>
        </w:r>
      </w:hyperlink>
      <w:r>
        <w:t xml:space="preserve"> </w:t>
      </w:r>
      <w:r>
        <w:t xml:space="preserve">is a new offering that enables utility clients to generate NERC compliance evidence from core asset inventories, manage intake, review and assess system changes for NERC compliance, and evaluate supplier risk against industry standards.</w:t>
      </w:r>
    </w:p>
    <w:bookmarkEnd w:id="23"/>
    <w:bookmarkStart w:id="27" w:name="AppPacks"/>
    <w:p>
      <w:pPr>
        <w:pStyle w:val="Heading3"/>
      </w:pPr>
      <w:r>
        <w:t xml:space="preserve">App-Packs</w:t>
      </w:r>
    </w:p>
    <w:p>
      <w:pPr>
        <w:numPr>
          <w:ilvl w:val="0"/>
          <w:numId w:val="1004"/>
        </w:numPr>
      </w:pPr>
      <w:hyperlink r:id="rId24">
        <w:r>
          <w:rPr>
            <w:rStyle w:val="Hyperlink"/>
          </w:rPr>
          <w:t xml:space="preserve">Archer Discussion Forum</w:t>
        </w:r>
      </w:hyperlink>
      <w:r>
        <w:t xml:space="preserve"> </w:t>
      </w:r>
      <w:r>
        <w:t xml:space="preserve">was updated to utilize Next Generation Dashboards and recertified on Archer platform release 2024.09.</w:t>
      </w:r>
    </w:p>
    <w:p>
      <w:pPr>
        <w:numPr>
          <w:ilvl w:val="0"/>
          <w:numId w:val="1004"/>
        </w:numPr>
      </w:pPr>
      <w:hyperlink r:id="rId25">
        <w:r>
          <w:rPr>
            <w:rStyle w:val="Hyperlink"/>
          </w:rPr>
          <w:t xml:space="preserve">Archer Strategic Planning</w:t>
        </w:r>
      </w:hyperlink>
      <w:r>
        <w:t xml:space="preserve"> </w:t>
      </w:r>
      <w:r>
        <w:t xml:space="preserve">was updated to require less Archer on-demand applications, utilize Next Generation Dashboards, and recertified on Archer platform release 2024.08.</w:t>
      </w:r>
    </w:p>
    <w:p>
      <w:pPr>
        <w:numPr>
          <w:ilvl w:val="0"/>
          <w:numId w:val="1004"/>
        </w:numPr>
      </w:pPr>
      <w:hyperlink r:id="rId26">
        <w:r>
          <w:rPr>
            <w:rStyle w:val="Hyperlink"/>
          </w:rPr>
          <w:t xml:space="preserve">Archer Support Requests</w:t>
        </w:r>
      </w:hyperlink>
      <w:r>
        <w:t xml:space="preserve"> </w:t>
      </w:r>
      <w:r>
        <w:t xml:space="preserve">was updated to simplify workflow and notifications, utilize Next Generation Dashboards, and recertified on Archer platform release 2024.06.</w:t>
      </w:r>
    </w:p>
    <w:bookmarkEnd w:id="27"/>
    <w:bookmarkStart w:id="33" w:name="Content"/>
    <w:p>
      <w:pPr>
        <w:pStyle w:val="Heading3"/>
      </w:pPr>
      <w:r>
        <w:t xml:space="preserve">Content</w:t>
      </w:r>
    </w:p>
    <w:p>
      <w:pPr>
        <w:numPr>
          <w:ilvl w:val="0"/>
          <w:numId w:val="1005"/>
        </w:numPr>
      </w:pPr>
      <w:hyperlink r:id="rId28">
        <w:r>
          <w:rPr>
            <w:rStyle w:val="Hyperlink"/>
          </w:rPr>
          <w:t xml:space="preserve">Fedramp Rev 5 Authoritative Source</w:t>
        </w:r>
      </w:hyperlink>
      <w:r>
        <w:t xml:space="preserve"> </w:t>
      </w:r>
      <w:r>
        <w:t xml:space="preserve">offers selected controls to address unique risks of cloud computing environments.</w:t>
      </w:r>
    </w:p>
    <w:p>
      <w:pPr>
        <w:numPr>
          <w:ilvl w:val="0"/>
          <w:numId w:val="1005"/>
        </w:numPr>
      </w:pPr>
      <w:hyperlink r:id="rId29">
        <w:r>
          <w:rPr>
            <w:rStyle w:val="Hyperlink"/>
          </w:rPr>
          <w:t xml:space="preserve">IRS Publication 1075 Control Standards for A&amp;A</w:t>
        </w:r>
      </w:hyperlink>
      <w:r>
        <w:t xml:space="preserve"> </w:t>
      </w:r>
      <w:r>
        <w:t xml:space="preserve">outlines the requirements for protecting Federal Tax Information (FTI) and establishes strict standards for government agencies to safeguard sensitive tax data.</w:t>
      </w:r>
    </w:p>
    <w:p>
      <w:pPr>
        <w:numPr>
          <w:ilvl w:val="0"/>
          <w:numId w:val="1005"/>
        </w:numPr>
      </w:pPr>
      <w:hyperlink r:id="rId30">
        <w:r>
          <w:rPr>
            <w:rStyle w:val="Hyperlink"/>
          </w:rPr>
          <w:t xml:space="preserve">NIS 2 Directive (EU) 2022-2555 Authoritative Source</w:t>
        </w:r>
      </w:hyperlink>
      <w:r>
        <w:t xml:space="preserve"> </w:t>
      </w:r>
      <w:r>
        <w:t xml:space="preserve">establishes higher standards for cybersecurity risk management, reporting obligations, and incident response</w:t>
      </w:r>
    </w:p>
    <w:p>
      <w:pPr>
        <w:numPr>
          <w:ilvl w:val="0"/>
          <w:numId w:val="1005"/>
        </w:numPr>
      </w:pPr>
      <w:hyperlink r:id="rId31">
        <w:r>
          <w:rPr>
            <w:rStyle w:val="Hyperlink"/>
          </w:rPr>
          <w:t xml:space="preserve">NIST 800-171 Control Standards for A&amp;A</w:t>
        </w:r>
      </w:hyperlink>
      <w:r>
        <w:t xml:space="preserve"> </w:t>
      </w:r>
      <w:r>
        <w:t xml:space="preserve">provide agencies with recommended security requirements for protecting the confidentiality of CUI when the information is resident in nonfederal systems and organizations.</w:t>
      </w:r>
    </w:p>
    <w:p>
      <w:pPr>
        <w:numPr>
          <w:ilvl w:val="0"/>
          <w:numId w:val="1005"/>
        </w:numPr>
      </w:pPr>
      <w:hyperlink r:id="rId32">
        <w:r>
          <w:rPr>
            <w:rStyle w:val="Hyperlink"/>
          </w:rPr>
          <w:t xml:space="preserve">NIST 800-172 Control Standards for A&amp;A</w:t>
        </w:r>
      </w:hyperlink>
      <w:r>
        <w:t xml:space="preserve"> </w:t>
      </w:r>
      <w:r>
        <w:t xml:space="preserve">provides federal agencies with recommended enhanced security requirements for protecting the confidentiality of Controlled Unclassified Information (CUI).</w:t>
      </w:r>
    </w:p>
    <w:bookmarkEnd w:id="33"/>
    <w:bookmarkStart w:id="38" w:name="Integrations"/>
    <w:p>
      <w:pPr>
        <w:pStyle w:val="Heading3"/>
      </w:pPr>
      <w:r>
        <w:t xml:space="preserve">Integrations</w:t>
      </w:r>
    </w:p>
    <w:p>
      <w:pPr>
        <w:numPr>
          <w:ilvl w:val="0"/>
          <w:numId w:val="1006"/>
        </w:numPr>
      </w:pPr>
      <w:hyperlink r:id="rId34">
        <w:r>
          <w:rPr>
            <w:rStyle w:val="Hyperlink"/>
          </w:rPr>
          <w:t xml:space="preserve">Ez-XBRL</w:t>
        </w:r>
      </w:hyperlink>
      <w:r>
        <w:t xml:space="preserve"> </w:t>
      </w:r>
      <w:r>
        <w:t xml:space="preserve">is a new offering that combines the data collection and disclosure capabilities of Archer ESG use cases with the advanced XBRL tagging and reporting services from Ez-XBRL, offering a complete and robust solution for sustainability reporting.</w:t>
      </w:r>
    </w:p>
    <w:p>
      <w:pPr>
        <w:numPr>
          <w:ilvl w:val="0"/>
          <w:numId w:val="1006"/>
        </w:numPr>
      </w:pPr>
      <w:hyperlink r:id="rId35">
        <w:r>
          <w:rPr>
            <w:rStyle w:val="Hyperlink"/>
          </w:rPr>
          <w:t xml:space="preserve">Regology Regulatory Change Management</w:t>
        </w:r>
      </w:hyperlink>
      <w:r>
        <w:t xml:space="preserve"> </w:t>
      </w:r>
      <w:r>
        <w:t xml:space="preserve">was updated to separate all the data feeds and recertified on Archer platform release 2024.09.</w:t>
      </w:r>
    </w:p>
    <w:p>
      <w:pPr>
        <w:numPr>
          <w:ilvl w:val="0"/>
          <w:numId w:val="1006"/>
        </w:numPr>
      </w:pPr>
      <w:hyperlink r:id="rId36">
        <w:r>
          <w:rPr>
            <w:rStyle w:val="Hyperlink"/>
          </w:rPr>
          <w:t xml:space="preserve">RSA Identity Governance &amp; Lifecycle User Provisioning</w:t>
        </w:r>
      </w:hyperlink>
      <w:r>
        <w:t xml:space="preserve"> </w:t>
      </w:r>
      <w:r>
        <w:t xml:space="preserve">was recertified on Archer platform release 2024.09.</w:t>
      </w:r>
    </w:p>
    <w:p>
      <w:pPr>
        <w:numPr>
          <w:ilvl w:val="0"/>
          <w:numId w:val="1006"/>
        </w:numPr>
      </w:pPr>
      <w:hyperlink r:id="rId37">
        <w:r>
          <w:rPr>
            <w:rStyle w:val="Hyperlink"/>
          </w:rPr>
          <w:t xml:space="preserve">Secberus</w:t>
        </w:r>
      </w:hyperlink>
      <w:r>
        <w:t xml:space="preserve"> </w:t>
      </w:r>
      <w:r>
        <w:t xml:space="preserve">is a new offering enabling users to create monitoring and orchestration policies for custom baseline configurations and send evidence/violations to Archer.</w:t>
      </w:r>
    </w:p>
    <w:bookmarkEnd w:id="38"/>
    <w:bookmarkStart w:id="42" w:name="ToolsUtilities"/>
    <w:p>
      <w:pPr>
        <w:pStyle w:val="Heading3"/>
      </w:pPr>
      <w:r>
        <w:t xml:space="preserve">Tools &amp; Utilities</w:t>
      </w:r>
    </w:p>
    <w:p>
      <w:pPr>
        <w:numPr>
          <w:ilvl w:val="0"/>
          <w:numId w:val="1007"/>
        </w:numPr>
      </w:pPr>
      <w:hyperlink r:id="rId39">
        <w:r>
          <w:rPr>
            <w:rStyle w:val="Hyperlink"/>
          </w:rPr>
          <w:t xml:space="preserve">Archer BI Connector</w:t>
        </w:r>
      </w:hyperlink>
      <w:r>
        <w:t xml:space="preserve"> </w:t>
      </w:r>
      <w:r>
        <w:t xml:space="preserve">has been certified to work with Tableau and addressed an issue with processing special characters in the password.</w:t>
      </w:r>
    </w:p>
    <w:p>
      <w:pPr>
        <w:numPr>
          <w:ilvl w:val="0"/>
          <w:numId w:val="1007"/>
        </w:numPr>
      </w:pPr>
      <w:hyperlink r:id="rId40">
        <w:r>
          <w:rPr>
            <w:rStyle w:val="Hyperlink"/>
          </w:rPr>
          <w:t xml:space="preserve">Archer Dashboard Conversion</w:t>
        </w:r>
      </w:hyperlink>
      <w:r>
        <w:t xml:space="preserve"> </w:t>
      </w:r>
      <w:r>
        <w:t xml:space="preserve">was updated to address duplicate widgets.</w:t>
      </w:r>
    </w:p>
    <w:p>
      <w:pPr>
        <w:numPr>
          <w:ilvl w:val="0"/>
          <w:numId w:val="1007"/>
        </w:numPr>
      </w:pPr>
      <w:hyperlink r:id="rId41">
        <w:r>
          <w:rPr>
            <w:rStyle w:val="Hyperlink"/>
          </w:rPr>
          <w:t xml:space="preserve">Archer User Account Management</w:t>
        </w:r>
      </w:hyperlink>
      <w:r>
        <w:t xml:space="preserve"> </w:t>
      </w:r>
      <w:r>
        <w:t xml:space="preserve">was updated to improve usability for clients.</w:t>
      </w:r>
    </w:p>
    <w:bookmarkEnd w:id="42"/>
    <w:bookmarkEnd w:id="43"/>
    <w:bookmarkStart w:id="45" w:name="EndofProductSupportPolicy"/>
    <w:p>
      <w:pPr>
        <w:pStyle w:val="Heading2"/>
      </w:pPr>
      <w:r>
        <w:t xml:space="preserve">End of Product Support Policy</w:t>
      </w:r>
    </w:p>
    <w:p>
      <w:pPr>
        <w:pStyle w:val="FirstParagraph"/>
      </w:pPr>
      <w:r>
        <w:t xml:space="preserve">Archer has a defined End of Primary Support policy associated with all major versions. For additional details, refer to the</w:t>
      </w:r>
      <w:r>
        <w:t xml:space="preserve"> </w:t>
      </w:r>
      <w:hyperlink r:id="rId44">
        <w:r>
          <w:rPr>
            <w:rStyle w:val="Hyperlink"/>
          </w:rPr>
          <w:t xml:space="preserve">Product Version Life Cycle</w:t>
        </w:r>
      </w:hyperlink>
      <w:r>
        <w:t xml:space="preserve">.</w:t>
      </w:r>
    </w:p>
    <w:p>
      <w:pPr>
        <w:pStyle w:val="BodyText"/>
      </w:pPr>
      <w:r>
        <w:t xml:space="preserve">The following Archer Exchange offerings have reached end of product support:</w:t>
      </w:r>
    </w:p>
    <w:p>
      <w:pPr>
        <w:numPr>
          <w:ilvl w:val="0"/>
          <w:numId w:val="1008"/>
        </w:numPr>
      </w:pPr>
      <w:r>
        <w:t xml:space="preserve">Tableau Web Data Connector 2.0 has reached End of Product Support (EOPS). The latest updates to the Archer BI Connector tool and utility enables the use for Tableau, allowing clients to connect Archer data seamlessly with Tableau.</w:t>
      </w:r>
    </w:p>
    <w:p>
      <w:pPr>
        <w:numPr>
          <w:ilvl w:val="0"/>
          <w:numId w:val="1008"/>
        </w:numPr>
      </w:pPr>
      <w:r>
        <w:t xml:space="preserve">The Venminder integration is outdated and will no longer be updated, resulting in the offering reaching End of Product Support (EOPS).</w:t>
      </w:r>
    </w:p>
    <w:bookmarkEnd w:id="45"/>
    <w:bookmarkStart w:id="50" w:name="Blogs"/>
    <w:p>
      <w:pPr>
        <w:pStyle w:val="Heading2"/>
      </w:pPr>
      <w:r>
        <w:t xml:space="preserve">Blogs</w:t>
      </w:r>
    </w:p>
    <w:p>
      <w:pPr>
        <w:pStyle w:val="FirstParagraph"/>
      </w:pPr>
      <w:hyperlink r:id="rId46">
        <w:r>
          <w:rPr>
            <w:rStyle w:val="Hyperlink"/>
          </w:rPr>
          <w:t xml:space="preserve">Introducing Archer Exchange’s November 2024 Release: Expanding Offerings to Strengthen Risk Management</w:t>
        </w:r>
      </w:hyperlink>
    </w:p>
    <w:p>
      <w:pPr>
        <w:pStyle w:val="BodyText"/>
      </w:pPr>
      <w:hyperlink r:id="rId47">
        <w:r>
          <w:rPr>
            <w:rStyle w:val="Hyperlink"/>
          </w:rPr>
          <w:t xml:space="preserve">Streamlining Enterprise Technology Controls: How Secberus Redefines Customization and Monitoring for Archer clients</w:t>
        </w:r>
      </w:hyperlink>
    </w:p>
    <w:p>
      <w:pPr>
        <w:pStyle w:val="BodyText"/>
      </w:pPr>
      <w:hyperlink r:id="rId48">
        <w:r>
          <w:rPr>
            <w:rStyle w:val="Hyperlink"/>
          </w:rPr>
          <w:t xml:space="preserve">Integrating AI-Powered Regology Regulatory Change Management with Archer</w:t>
        </w:r>
      </w:hyperlink>
    </w:p>
    <w:p>
      <w:pPr>
        <w:pStyle w:val="BodyText"/>
      </w:pPr>
      <w:hyperlink r:id="rId49">
        <w:r>
          <w:rPr>
            <w:rStyle w:val="Hyperlink"/>
          </w:rPr>
          <w:t xml:space="preserve">Enhancing Core Archer Solutions to Meet CIP Requirements: A Tailored Experience for North American Electric Utilities</w:t>
        </w:r>
      </w:hyperlink>
    </w:p>
    <w:bookmarkEnd w:id="50"/>
    <w:bookmarkStart w:id="54" w:name="FreeFridayTechHuddles"/>
    <w:p>
      <w:pPr>
        <w:pStyle w:val="Heading2"/>
      </w:pPr>
      <w:r>
        <w:t xml:space="preserve">Free Friday Tech Huddles</w:t>
      </w:r>
    </w:p>
    <w:p>
      <w:pPr>
        <w:pStyle w:val="FirstParagraph"/>
      </w:pPr>
      <w:hyperlink r:id="rId51">
        <w:r>
          <w:rPr>
            <w:rStyle w:val="Hyperlink"/>
          </w:rPr>
          <w:t xml:space="preserve">November 22, 2024</w:t>
        </w:r>
      </w:hyperlink>
      <w:r>
        <w:t xml:space="preserve">: FFTH Replay: Archer Exchange November 2024 Release Overview and Archer Exchange Marketplace Updates</w:t>
      </w:r>
    </w:p>
    <w:p>
      <w:pPr>
        <w:pStyle w:val="BodyText"/>
      </w:pPr>
      <w:hyperlink r:id="rId52">
        <w:r>
          <w:rPr>
            <w:rStyle w:val="Hyperlink"/>
          </w:rPr>
          <w:t xml:space="preserve">December 13, 2024</w:t>
        </w:r>
      </w:hyperlink>
      <w:r>
        <w:t xml:space="preserve">: FFTH Replay: Archer Exchange – November 2024 Release Highlights: Regology Regulatory Change Management Integration and Secberus Integration Overview &amp; Demos</w:t>
      </w:r>
    </w:p>
    <w:p>
      <w:pPr>
        <w:pStyle w:val="BodyText"/>
      </w:pPr>
      <w:hyperlink r:id="rId53">
        <w:r>
          <w:rPr>
            <w:rStyle w:val="Hyperlink"/>
          </w:rPr>
          <w:t xml:space="preserve">January 10, 2025</w:t>
        </w:r>
      </w:hyperlink>
      <w:r>
        <w:t xml:space="preserve">: FFTH: Archer Exchange – November 2024 Release Highlights: Karta NERC CIP Accelerator Overview &amp; Demo</w:t>
      </w:r>
    </w:p>
    <w:bookmarkEnd w:id="54"/>
    <w:bookmarkStart w:id="60" w:name="Resources"/>
    <w:p>
      <w:pPr>
        <w:pStyle w:val="Heading2"/>
      </w:pPr>
      <w:r>
        <w:t xml:space="preserve">Resources</w:t>
      </w:r>
    </w:p>
    <w:p>
      <w:pPr>
        <w:pStyle w:val="FirstParagraph"/>
      </w:pPr>
      <w:hyperlink r:id="rId55">
        <w:r>
          <w:rPr>
            <w:rStyle w:val="Hyperlink"/>
          </w:rPr>
          <w:t xml:space="preserve">Archer Exchange</w:t>
        </w:r>
      </w:hyperlink>
    </w:p>
    <w:p>
      <w:pPr>
        <w:pStyle w:val="BodyText"/>
      </w:pPr>
      <w:hyperlink r:id="rId56">
        <w:r>
          <w:rPr>
            <w:rStyle w:val="Hyperlink"/>
          </w:rPr>
          <w:t xml:space="preserve">Archer Exchange Downloads</w:t>
        </w:r>
      </w:hyperlink>
    </w:p>
    <w:p>
      <w:pPr>
        <w:pStyle w:val="BodyText"/>
      </w:pPr>
      <w:hyperlink r:id="rId57">
        <w:r>
          <w:rPr>
            <w:rStyle w:val="Hyperlink"/>
          </w:rPr>
          <w:t xml:space="preserve">Archer Exchange Help Center</w:t>
        </w:r>
      </w:hyperlink>
    </w:p>
    <w:p>
      <w:pPr>
        <w:pStyle w:val="BodyText"/>
      </w:pPr>
      <w:hyperlink r:id="rId58">
        <w:r>
          <w:rPr>
            <w:rStyle w:val="Hyperlink"/>
          </w:rPr>
          <w:t xml:space="preserve">Archer Exchange FAQ</w:t>
        </w:r>
      </w:hyperlink>
    </w:p>
    <w:p>
      <w:pPr>
        <w:pStyle w:val="BodyText"/>
      </w:pPr>
      <w:hyperlink r:id="rId59">
        <w:r>
          <w:rPr>
            <w:rStyle w:val="Hyperlink"/>
          </w:rPr>
          <w:t xml:space="preserve">Archer Exchange Partner Program Overview</w:t>
        </w:r>
      </w:hyperlink>
    </w:p>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archerirm.exchange/en-US/apps/420441" TargetMode="External" /><Relationship Type="http://schemas.openxmlformats.org/officeDocument/2006/relationships/hyperlink" Id="rId24" Target="https://archerirm.exchange/en-US/apps/420473" TargetMode="External" /><Relationship Type="http://schemas.openxmlformats.org/officeDocument/2006/relationships/hyperlink" Id="rId25" Target="https://archerirm.exchange/en-US/apps/420497" TargetMode="External" /><Relationship Type="http://schemas.openxmlformats.org/officeDocument/2006/relationships/hyperlink" Id="rId26" Target="https://archerirm.exchange/en-US/apps/420501" TargetMode="External" /><Relationship Type="http://schemas.openxmlformats.org/officeDocument/2006/relationships/hyperlink" Id="rId36" Target="https://archerirm.exchange/en-US/apps/420518/rsa-identity-governance-lifecycle-user-provisioning" TargetMode="External" /><Relationship Type="http://schemas.openxmlformats.org/officeDocument/2006/relationships/hyperlink" Id="rId35" Target="https://archerirm.exchange/en-US/apps/420747" TargetMode="External" /><Relationship Type="http://schemas.openxmlformats.org/officeDocument/2006/relationships/hyperlink" Id="rId39" Target="https://archerirm.exchange/en-US/apps/440296" TargetMode="External" /><Relationship Type="http://schemas.openxmlformats.org/officeDocument/2006/relationships/hyperlink" Id="rId40" Target="https://archerirm.exchange/en-US/apps/449956" TargetMode="External" /><Relationship Type="http://schemas.openxmlformats.org/officeDocument/2006/relationships/hyperlink" Id="rId29" Target="https://archerirm.exchange/en-US/apps/455453/irs-publication-1075-control-standards-(aa)" TargetMode="External" /><Relationship Type="http://schemas.openxmlformats.org/officeDocument/2006/relationships/hyperlink" Id="rId31" Target="https://archerirm.exchange/en-US/apps/455522/nist-800-171-control-standards-for-aa" TargetMode="External" /><Relationship Type="http://schemas.openxmlformats.org/officeDocument/2006/relationships/hyperlink" Id="rId32" Target="https://archerirm.exchange/en-US/apps/455568/nist-800-172-control-standards-for-aa" TargetMode="External" /><Relationship Type="http://schemas.openxmlformats.org/officeDocument/2006/relationships/hyperlink" Id="rId30" Target="https://archerirm.exchange/en-US/apps/455579/nis-2-directive-(eu)-20222555-authoritative-source" TargetMode="External" /><Relationship Type="http://schemas.openxmlformats.org/officeDocument/2006/relationships/hyperlink" Id="rId28" Target="https://archerirm.exchange/en-US/apps/455582/gsa-fedramp-revision-5-authoritative-source" TargetMode="External" /><Relationship Type="http://schemas.openxmlformats.org/officeDocument/2006/relationships/hyperlink" Id="rId37" Target="https://archerirm.exchange/en-US/apps/457791" TargetMode="External" /><Relationship Type="http://schemas.openxmlformats.org/officeDocument/2006/relationships/hyperlink" Id="rId22" Target="https://archerirm.exchange/en-US/apps/457793" TargetMode="External" /><Relationship Type="http://schemas.openxmlformats.org/officeDocument/2006/relationships/hyperlink" Id="rId34" Target="https://archerirm.exchange/en-US/apps/457798" TargetMode="External" /><Relationship Type="http://schemas.openxmlformats.org/officeDocument/2006/relationships/hyperlink" Id="rId58" Target="https://archerirm.exchange/en-US/help" TargetMode="External" /><Relationship Type="http://schemas.openxmlformats.org/officeDocument/2006/relationships/hyperlink" Id="rId55" Target="https://archerirm.exchange/en-US/home" TargetMode="External" /><Relationship Type="http://schemas.openxmlformats.org/officeDocument/2006/relationships/hyperlink" Id="rId53" Target="https://events.teams.microsoft.com/event/64ddd19c-5c09-40e7-96ed-c44b08add76f@33a7f6cd-2e0f-44b7-a442-289016d276a5" TargetMode="External" /><Relationship Type="http://schemas.openxmlformats.org/officeDocument/2006/relationships/hyperlink" Id="rId57" Target="https://help.archerirm.cloud/exchange/content/exchange/archer_exchange.htm" TargetMode="External" /><Relationship Type="http://schemas.openxmlformats.org/officeDocument/2006/relationships/hyperlink" Id="rId56" Target="https://www.archerirm.community/s/archer-exchange-downloads" TargetMode="External" /><Relationship Type="http://schemas.openxmlformats.org/officeDocument/2006/relationships/hyperlink" Id="rId51" Target="https://www.archerirm.community/s/article/Archer-Exchange-November-2024-Release-Overview-and-Marketplace" TargetMode="External" /><Relationship Type="http://schemas.openxmlformats.org/officeDocument/2006/relationships/hyperlink" Id="rId49" Target="https://www.archerirm.community/s/blogs/enhancing-core-archer-solutions-to-meet-cip-requirements-a-tailored-experience-f-MCGVVJZA72DZC4BND67IPDOS45KA" TargetMode="External" /><Relationship Type="http://schemas.openxmlformats.org/officeDocument/2006/relationships/hyperlink" Id="rId48" Target="https://www.archerirm.community/s/blogs/integrating-ai-powered-regology-regulatory-change-management-with-archer-MCLZZH5DREGZHOPAETUQ7ORW3RLY" TargetMode="External" /><Relationship Type="http://schemas.openxmlformats.org/officeDocument/2006/relationships/hyperlink" Id="rId46" Target="https://www.archerirm.community/s/blogs/introducing-archer-exchange-s-november-2024-release-expanding-offerings-to-stren-MCSGOLS3FQJRBP3LYJS4ASDJFNHI" TargetMode="External" /><Relationship Type="http://schemas.openxmlformats.org/officeDocument/2006/relationships/hyperlink" Id="rId47" Target="https://www.archerirm.community/s/blogs/streamlining-enterprise-technology-controls-how-secberus-redefines-customization-MCNCUOXQONDRAHLLTBRCFGUKDHW4" TargetMode="External" /><Relationship Type="http://schemas.openxmlformats.org/officeDocument/2006/relationships/hyperlink" Id="rId59" Target="https://www.archerirm.community/s/exchange-partner-program-overview" TargetMode="External" /><Relationship Type="http://schemas.openxmlformats.org/officeDocument/2006/relationships/hyperlink" Id="rId52" Target="https://www.archerirm.community/s/friday-tech-huddle-replays"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44" Target="https://www.archerirm.community/t5/product-life-cycle/product-version-life-cycle-for-the-archer-suite/ta-p/573322" TargetMode="External" /></Relationships>
</file>

<file path=word/_rels/footnotes.xml.rels><?xml version="1.0" encoding="UTF-8"?><Relationships xmlns="http://schemas.openxmlformats.org/package/2006/relationships"><Relationship Type="http://schemas.openxmlformats.org/officeDocument/2006/relationships/hyperlink" Id="rId41" Target="https://archerirm.exchange/en-US/apps/420441" TargetMode="External" /><Relationship Type="http://schemas.openxmlformats.org/officeDocument/2006/relationships/hyperlink" Id="rId24" Target="https://archerirm.exchange/en-US/apps/420473" TargetMode="External" /><Relationship Type="http://schemas.openxmlformats.org/officeDocument/2006/relationships/hyperlink" Id="rId25" Target="https://archerirm.exchange/en-US/apps/420497" TargetMode="External" /><Relationship Type="http://schemas.openxmlformats.org/officeDocument/2006/relationships/hyperlink" Id="rId26" Target="https://archerirm.exchange/en-US/apps/420501" TargetMode="External" /><Relationship Type="http://schemas.openxmlformats.org/officeDocument/2006/relationships/hyperlink" Id="rId36" Target="https://archerirm.exchange/en-US/apps/420518/rsa-identity-governance-lifecycle-user-provisioning" TargetMode="External" /><Relationship Type="http://schemas.openxmlformats.org/officeDocument/2006/relationships/hyperlink" Id="rId35" Target="https://archerirm.exchange/en-US/apps/420747" TargetMode="External" /><Relationship Type="http://schemas.openxmlformats.org/officeDocument/2006/relationships/hyperlink" Id="rId39" Target="https://archerirm.exchange/en-US/apps/440296" TargetMode="External" /><Relationship Type="http://schemas.openxmlformats.org/officeDocument/2006/relationships/hyperlink" Id="rId40" Target="https://archerirm.exchange/en-US/apps/449956" TargetMode="External" /><Relationship Type="http://schemas.openxmlformats.org/officeDocument/2006/relationships/hyperlink" Id="rId29" Target="https://archerirm.exchange/en-US/apps/455453/irs-publication-1075-control-standards-(aa)" TargetMode="External" /><Relationship Type="http://schemas.openxmlformats.org/officeDocument/2006/relationships/hyperlink" Id="rId31" Target="https://archerirm.exchange/en-US/apps/455522/nist-800-171-control-standards-for-aa" TargetMode="External" /><Relationship Type="http://schemas.openxmlformats.org/officeDocument/2006/relationships/hyperlink" Id="rId32" Target="https://archerirm.exchange/en-US/apps/455568/nist-800-172-control-standards-for-aa" TargetMode="External" /><Relationship Type="http://schemas.openxmlformats.org/officeDocument/2006/relationships/hyperlink" Id="rId30" Target="https://archerirm.exchange/en-US/apps/455579/nis-2-directive-(eu)-20222555-authoritative-source" TargetMode="External" /><Relationship Type="http://schemas.openxmlformats.org/officeDocument/2006/relationships/hyperlink" Id="rId28" Target="https://archerirm.exchange/en-US/apps/455582/gsa-fedramp-revision-5-authoritative-source" TargetMode="External" /><Relationship Type="http://schemas.openxmlformats.org/officeDocument/2006/relationships/hyperlink" Id="rId37" Target="https://archerirm.exchange/en-US/apps/457791" TargetMode="External" /><Relationship Type="http://schemas.openxmlformats.org/officeDocument/2006/relationships/hyperlink" Id="rId22" Target="https://archerirm.exchange/en-US/apps/457793" TargetMode="External" /><Relationship Type="http://schemas.openxmlformats.org/officeDocument/2006/relationships/hyperlink" Id="rId34" Target="https://archerirm.exchange/en-US/apps/457798" TargetMode="External" /><Relationship Type="http://schemas.openxmlformats.org/officeDocument/2006/relationships/hyperlink" Id="rId58" Target="https://archerirm.exchange/en-US/help" TargetMode="External" /><Relationship Type="http://schemas.openxmlformats.org/officeDocument/2006/relationships/hyperlink" Id="rId55" Target="https://archerirm.exchange/en-US/home" TargetMode="External" /><Relationship Type="http://schemas.openxmlformats.org/officeDocument/2006/relationships/hyperlink" Id="rId53" Target="https://events.teams.microsoft.com/event/64ddd19c-5c09-40e7-96ed-c44b08add76f@33a7f6cd-2e0f-44b7-a442-289016d276a5" TargetMode="External" /><Relationship Type="http://schemas.openxmlformats.org/officeDocument/2006/relationships/hyperlink" Id="rId57" Target="https://help.archerirm.cloud/exchange/content/exchange/archer_exchange.htm" TargetMode="External" /><Relationship Type="http://schemas.openxmlformats.org/officeDocument/2006/relationships/hyperlink" Id="rId56" Target="https://www.archerirm.community/s/archer-exchange-downloads" TargetMode="External" /><Relationship Type="http://schemas.openxmlformats.org/officeDocument/2006/relationships/hyperlink" Id="rId51" Target="https://www.archerirm.community/s/article/Archer-Exchange-November-2024-Release-Overview-and-Marketplace" TargetMode="External" /><Relationship Type="http://schemas.openxmlformats.org/officeDocument/2006/relationships/hyperlink" Id="rId49" Target="https://www.archerirm.community/s/blogs/enhancing-core-archer-solutions-to-meet-cip-requirements-a-tailored-experience-f-MCGVVJZA72DZC4BND67IPDOS45KA" TargetMode="External" /><Relationship Type="http://schemas.openxmlformats.org/officeDocument/2006/relationships/hyperlink" Id="rId48" Target="https://www.archerirm.community/s/blogs/integrating-ai-powered-regology-regulatory-change-management-with-archer-MCLZZH5DREGZHOPAETUQ7ORW3RLY" TargetMode="External" /><Relationship Type="http://schemas.openxmlformats.org/officeDocument/2006/relationships/hyperlink" Id="rId46" Target="https://www.archerirm.community/s/blogs/introducing-archer-exchange-s-november-2024-release-expanding-offerings-to-stren-MCSGOLS3FQJRBP3LYJS4ASDJFNHI" TargetMode="External" /><Relationship Type="http://schemas.openxmlformats.org/officeDocument/2006/relationships/hyperlink" Id="rId47" Target="https://www.archerirm.community/s/blogs/streamlining-enterprise-technology-controls-how-secberus-redefines-customization-MCNCUOXQONDRAHLLTBRCFGUKDHW4" TargetMode="External" /><Relationship Type="http://schemas.openxmlformats.org/officeDocument/2006/relationships/hyperlink" Id="rId59" Target="https://www.archerirm.community/s/exchange-partner-program-overview" TargetMode="External" /><Relationship Type="http://schemas.openxmlformats.org/officeDocument/2006/relationships/hyperlink" Id="rId52" Target="https://www.archerirm.community/s/friday-tech-huddle-replays"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44" Target="https://www.archerirm.community/t5/product-life-cycle/product-version-life-cycle-for-the-archer-suite/ta-p/5733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2025-03-24T15:34:38Z</dcterms:created>
  <dcterms:modified xsi:type="dcterms:W3CDTF">2025-03-24T15:34:38Z</dcterms:modified>
</cp:coreProperties>
</file>

<file path=docProps/custom.xml><?xml version="1.0" encoding="utf-8"?>
<Properties xmlns="http://schemas.openxmlformats.org/officeDocument/2006/custom-properties" xmlns:vt="http://schemas.openxmlformats.org/officeDocument/2006/docPropsVTypes"/>
</file>