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archer-exchange-prerequisite-use-cases-1"/>
    <w:p>
      <w:pPr>
        <w:pStyle w:val="Heading1"/>
      </w:pPr>
      <w:r>
        <w:t xml:space="preserve">Archer Exchange Prerequisite Use Cases</w:t>
      </w:r>
    </w:p>
    <w:p>
      <w:pPr>
        <w:pStyle w:val="FirstParagraph"/>
      </w:pPr>
      <w:r>
        <w:t xml:space="preserve">Archer Exchange offerings often leverage or augment capabilities for the out-of-the-box Archer solutions or use cases. For example, integrations may be configured to bring data into a specific use case, or an app-pack may require the use of an application, such as Findings which is available in Archer Issues Management. Prerequisite use cases indicate that this use case must be licensed to use the Archer Exchange offering.</w:t>
      </w:r>
    </w:p>
    <w:p>
      <w:pPr>
        <w:pStyle w:val="BodyText"/>
      </w:pPr>
      <w:r>
        <w:t xml:space="preserve">Prerequisite use case or licensing information can be found on the offering’s</w:t>
      </w:r>
      <w:r>
        <w:t xml:space="preserve"> </w:t>
      </w:r>
      <w:r>
        <w:rPr>
          <w:b/>
          <w:bCs/>
        </w:rPr>
        <w:t xml:space="preserve">Feature</w:t>
      </w:r>
      <w:r>
        <w:t xml:space="preserve"> </w:t>
      </w:r>
      <w:r>
        <w:t xml:space="preserve">tab under</w:t>
      </w:r>
      <w:r>
        <w:t xml:space="preserve"> </w:t>
      </w:r>
      <w:r>
        <w:rPr>
          <w:b/>
          <w:bCs/>
        </w:rPr>
        <w:t xml:space="preserve">System and Licensing Information</w:t>
      </w:r>
      <w:r>
        <w:t xml:space="preserve">. Additional information can be found in the offering’s documentation.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2025-03-24T15:35:26Z</dcterms:created>
  <dcterms:modified xsi:type="dcterms:W3CDTF">2025-03-24T15:35:26Z</dcterms:modified>
</cp:coreProperties>
</file>

<file path=docProps/custom.xml><?xml version="1.0" encoding="utf-8"?>
<Properties xmlns="http://schemas.openxmlformats.org/officeDocument/2006/custom-properties" xmlns:vt="http://schemas.openxmlformats.org/officeDocument/2006/docPropsVTypes"/>
</file>