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archer-exchange-accelerators-1"/>
    <w:p>
      <w:pPr>
        <w:pStyle w:val="Heading1"/>
      </w:pPr>
      <w:r>
        <w:t xml:space="preserve">Archer Exchange Accelerators</w:t>
      </w:r>
    </w:p>
    <w:p>
      <w:pPr>
        <w:pStyle w:val="FirstParagraph"/>
      </w:pPr>
      <w:r>
        <w:t xml:space="preserve">Accelerators provide prebuilt use case configurations enhancing usability for specific industries, geographies, and more. Accelerators enhance out-of-the-box Archer use cases and provide configurations for a use case that specializes the use case for a specific industry or geographical need.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2025-03-24T15:43:04Z</dcterms:created>
  <dcterms:modified xsi:type="dcterms:W3CDTF">2025-03-24T15:43:04Z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