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jpg" ContentType="image/jpeg"/>
  <Override PartName="/word/media/rId66.png" ContentType="image/png"/>
  <Override PartName="/word/media/rId50.png" ContentType="image/png"/>
  <Override PartName="/word/media/rId28.png" ContentType="image/png"/>
  <Override PartName="/word/media/rId32.png" ContentType="image/png"/>
  <Override PartName="/word/media/rId47.png" ContentType="image/png"/>
  <Override PartName="/word/media/rId4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mc-main-content"/>
    <w:bookmarkStart w:id="80" w:name="archer-internal-dispute-resolution-1"/>
    <w:p>
      <w:pPr>
        <w:pStyle w:val="Heading1"/>
      </w:pPr>
      <w:r>
        <w:t xml:space="preserve">Archer Internal Dispute Resolution</w:t>
      </w:r>
    </w:p>
    <w:p>
      <w:pPr>
        <w:pStyle w:val="FirstParagraph"/>
      </w:pPr>
      <w:r>
        <w:t xml:space="preserve">In the context of regulatory compliance, there exists a significant challenge for financial firms regarding the effective tracking and management of customer complaints in Australia.  The Australian Securities &amp; Investments Commission (ASIC) has a regulation titled RG 271 on Internal Dispute Resolution. The regulation came into effect in October 2021 and mandates specific timelines around complaint, or internal dispute type, treatment and remediation. The Regulation can be found here:</w:t>
      </w:r>
      <w:r>
        <w:t xml:space="preserve"> </w:t>
      </w:r>
      <w:hyperlink r:id="rId20">
        <w:r>
          <w:rPr>
            <w:rStyle w:val="Hyperlink"/>
          </w:rPr>
          <w:t xml:space="preserve">https://asic.gov.au/regulatory-resources/find-a-document/regulatory-guides/rg-271-internal-dispute-resolution/</w:t>
        </w:r>
      </w:hyperlink>
      <w:r>
        <w:t xml:space="preserve">.</w:t>
      </w:r>
    </w:p>
    <w:p>
      <w:pPr>
        <w:pStyle w:val="BodyText"/>
      </w:pPr>
      <w:r>
        <w:t xml:space="preserve">Compliance with ASIC RG 271 is essential for financial firms to manage and resolve their complaints.  When utilized alongside the Archer Complaints Tracking app-pack, the Archer Internal Dispute Resolution accelerator assists organizations in meeting the requirements of ASIC RG 271 regulation. Integrated with ASIC's specified Complaint Types, it establishes the maximum internal dispute resolution timeframe corresponding to each complaint type. Additionally, it monitors the acknowledgment process for internal dispute resolution and identifies instances necessitating a formal response. Furthermore, leveraging the FAR Regulatory Correspondence Add-On, it effectively tracks regulatory correspondence and facilitates notifications to ASIC or the Australian Financial Complaints Authority (AFCA).</w:t>
      </w:r>
    </w:p>
    <w:bookmarkStart w:id="27"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Release Date</w:t>
            </w:r>
          </w:p>
        </w:tc>
        <w:tc>
          <w:tcPr/>
          <w:p>
            <w:pPr>
              <w:pStyle w:val="Compact"/>
            </w:pPr>
            <w:r>
              <w:t xml:space="preserve">Archer Platform Release</w:t>
            </w:r>
          </w:p>
        </w:tc>
        <w:tc>
          <w:tcPr/>
          <w:p>
            <w:pPr>
              <w:pStyle w:val="Compact"/>
            </w:pPr>
            <w:r>
              <w:t xml:space="preserve">Notes</w:t>
            </w:r>
          </w:p>
        </w:tc>
      </w:tr>
      <w:tr>
        <w:tc>
          <w:tcPr/>
          <w:p>
            <w:pPr>
              <w:pStyle w:val="BodyText"/>
            </w:pPr>
            <w:r>
              <w:t xml:space="preserve">June 2024</w:t>
            </w:r>
          </w:p>
        </w:tc>
        <w:tc>
          <w:tcPr/>
          <w:p>
            <w:pPr>
              <w:pStyle w:val="Compact"/>
            </w:pPr>
            <w:r>
              <w:t xml:space="preserve">2024.06</w:t>
            </w:r>
          </w:p>
        </w:tc>
        <w:tc>
          <w:tcPr/>
          <w:p>
            <w:pPr>
              <w:pStyle w:val="Compact"/>
            </w:pPr>
            <w:r>
              <w:t xml:space="preserve">Initial Release</w:t>
            </w:r>
          </w:p>
        </w:tc>
      </w:tr>
    </w:tbl>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2"/>
          <w:numId w:val="1003"/>
        </w:numPr>
      </w:pPr>
      <w:hyperlink w:anchor="AdditionalResources">
        <w:r>
          <w:rPr>
            <w:rStyle w:val="Hyperlink"/>
          </w:rPr>
          <w:t xml:space="preserve">Additional Resources</w:t>
        </w:r>
      </w:hyperlink>
    </w:p>
    <w:p>
      <w:pPr>
        <w:pStyle w:val="Compact"/>
        <w:numPr>
          <w:ilvl w:val="0"/>
          <w:numId w:val="1001"/>
        </w:numPr>
      </w:pPr>
      <w:hyperlink w:anchor="X1d46f1dfa960642a8a8c174c7cbaa831adff676">
        <w:r>
          <w:rPr>
            <w:rStyle w:val="Hyperlink"/>
          </w:rPr>
          <w:t xml:space="preserve">Archer Internal Dispute Resolution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rocessdiagram">
        <w:r>
          <w:rPr>
            <w:rStyle w:val="Hyperlink"/>
          </w:rPr>
          <w:t xml:space="preserve">Process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d7b8343f21cd415dfa153100f714dace60d620c">
        <w:r>
          <w:rPr>
            <w:rStyle w:val="Hyperlink"/>
          </w:rPr>
          <w:t xml:space="preserve">Installing Archer internal dispute resolution</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
        <w:r>
          <w:rPr>
            <w:rStyle w:val="Hyperlink"/>
          </w:rPr>
          <w:t xml:space="preserve">Installation</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Step3Testtheinstallation">
        <w:r>
          <w:rPr>
            <w:rStyle w:val="Hyperlink"/>
          </w:rPr>
          <w:t xml:space="preserve">Step 3: Test the installation</w:t>
        </w:r>
      </w:hyperlink>
    </w:p>
    <w:p>
      <w:pPr>
        <w:pStyle w:val="Compact"/>
        <w:numPr>
          <w:ilvl w:val="0"/>
          <w:numId w:val="1001"/>
        </w:numPr>
      </w:pPr>
      <w:hyperlink w:anchor="UsingArcherInternalDisputeResolution">
        <w:r>
          <w:rPr>
            <w:rStyle w:val="Hyperlink"/>
          </w:rPr>
          <w:t xml:space="preserve">Using Archer Internal Dispute Resolution</w:t>
        </w:r>
      </w:hyperlink>
    </w:p>
    <w:p>
      <w:pPr>
        <w:pStyle w:val="Compact"/>
        <w:numPr>
          <w:ilvl w:val="1"/>
          <w:numId w:val="1007"/>
        </w:numPr>
      </w:pPr>
      <w:hyperlink w:anchor="RegistertheComplaint">
        <w:r>
          <w:rPr>
            <w:rStyle w:val="Hyperlink"/>
          </w:rPr>
          <w:t xml:space="preserve">Register the Complaint</w:t>
        </w:r>
      </w:hyperlink>
    </w:p>
    <w:p>
      <w:pPr>
        <w:pStyle w:val="Compact"/>
        <w:numPr>
          <w:ilvl w:val="1"/>
          <w:numId w:val="1007"/>
        </w:numPr>
      </w:pPr>
      <w:hyperlink w:anchor="ReviewtheComplaint">
        <w:r>
          <w:rPr>
            <w:rStyle w:val="Hyperlink"/>
          </w:rPr>
          <w:t xml:space="preserve">Review the Complaint</w:t>
        </w:r>
      </w:hyperlink>
    </w:p>
    <w:p>
      <w:pPr>
        <w:pStyle w:val="Compact"/>
        <w:numPr>
          <w:ilvl w:val="1"/>
          <w:numId w:val="1007"/>
        </w:numPr>
      </w:pPr>
      <w:hyperlink w:anchor="InvestigateClosetheComplaint">
        <w:r>
          <w:rPr>
            <w:rStyle w:val="Hyperlink"/>
          </w:rPr>
          <w:t xml:space="preserve">Investigate/Close the Complaint</w:t>
        </w:r>
      </w:hyperlink>
    </w:p>
    <w:p>
      <w:pPr>
        <w:pStyle w:val="Compact"/>
        <w:numPr>
          <w:ilvl w:val="0"/>
          <w:numId w:val="1001"/>
        </w:numPr>
      </w:pPr>
      <w:hyperlink w:anchor="Certificationenvironment">
        <w:r>
          <w:rPr>
            <w:rStyle w:val="Hyperlink"/>
          </w:rPr>
          <w:t xml:space="preserve">Certification environment</w:t>
        </w:r>
      </w:hyperlink>
    </w:p>
    <w:bookmarkStart w:id="21" w:name="Keyfeaturesandbenefits"/>
    <w:p>
      <w:pPr>
        <w:pStyle w:val="Heading3"/>
      </w:pPr>
      <w:r>
        <w:t xml:space="preserve">Key features and benefits</w:t>
      </w:r>
    </w:p>
    <w:p>
      <w:pPr>
        <w:pStyle w:val="FirstParagraph"/>
      </w:pPr>
      <w:r>
        <w:t xml:space="preserve">The Archer Internal Dispute Resolution accelerator enables organizations to:</w:t>
      </w:r>
    </w:p>
    <w:p>
      <w:pPr>
        <w:numPr>
          <w:ilvl w:val="0"/>
          <w:numId w:val="1008"/>
        </w:numPr>
      </w:pPr>
      <w:r>
        <w:t xml:space="preserve">Offer transparency regarding acknowledgment and response times for internal dispute resolution, in accordance with ASIC's standards.</w:t>
      </w:r>
    </w:p>
    <w:p>
      <w:pPr>
        <w:numPr>
          <w:ilvl w:val="0"/>
          <w:numId w:val="1008"/>
        </w:numPr>
      </w:pPr>
      <w:r>
        <w:t xml:space="preserve">Monitor essential internal dispute resolution details for the organization.</w:t>
      </w:r>
    </w:p>
    <w:p>
      <w:pPr>
        <w:numPr>
          <w:ilvl w:val="0"/>
          <w:numId w:val="1008"/>
        </w:numPr>
      </w:pPr>
      <w:r>
        <w:t xml:space="preserve">Track response and remediation actions to address the complaint.</w:t>
      </w:r>
    </w:p>
    <w:p>
      <w:pPr>
        <w:numPr>
          <w:ilvl w:val="0"/>
          <w:numId w:val="1008"/>
        </w:numPr>
      </w:pPr>
      <w:r>
        <w:t xml:space="preserve">Facilitate reporting as needed to ASIC and AFCA through the FAR Regulatory Correspondence Add-On.</w:t>
      </w:r>
    </w:p>
    <w:bookmarkEnd w:id="21"/>
    <w:bookmarkStart w:id="22" w:name="PrerequisitesODAandsystemrequirements"/>
    <w:p>
      <w:pPr>
        <w:pStyle w:val="Heading3"/>
      </w:pPr>
      <w:r>
        <w:t xml:space="preserve">Prerequisites (ODA and system requirements)</w:t>
      </w:r>
    </w:p>
    <w:p>
      <w:pPr>
        <w:pStyle w:val="TableCaption"/>
      </w:pPr>
      <w:r>
        <w:t xml:space="preserve">The following table lists the components and prerequisites for Archer Internal Dispute Resolution.</w:t>
      </w:r>
    </w:p>
    <w:tbl>
      <w:tblPr>
        <w:tblStyle w:val="Table"/>
        <w:tblW w:type="auto" w:w="0"/>
        <w:tblLook w:firstRow="0" w:lastRow="0" w:firstColumn="0" w:lastColumn="0" w:noHBand="0" w:noVBand="0" w:val="0000"/>
        <w:tblCaption w:val="The following table lists the components and prerequisites for Archer Internal Dispute Resolution."/>
      </w:tblPr>
      <w:tblGrid>
        <w:gridCol w:w="3960"/>
        <w:gridCol w:w="3960"/>
      </w:tblGrid>
      <w:tr>
        <w:tc>
          <w:tcPr/>
          <w:p>
            <w:pPr>
              <w:pStyle w:val="BodyText"/>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Regulatory &amp; Corporate Compliance Management</w:t>
            </w:r>
          </w:p>
        </w:tc>
      </w:tr>
      <w:tr>
        <w:tc>
          <w:tcPr/>
          <w:p>
            <w:pPr>
              <w:pStyle w:val="BodyText"/>
            </w:pPr>
            <w:r>
              <w:t xml:space="preserve">Archer Use Case(s)</w:t>
            </w:r>
          </w:p>
        </w:tc>
        <w:tc>
          <w:tcPr/>
          <w:p>
            <w:pPr>
              <w:pStyle w:val="BodyText"/>
            </w:pPr>
            <w:r>
              <w:t xml:space="preserve">The offering requires the Archer Complaints Tracking App Pack or one (1) Archer On-Demand Application. The FAR Regulatory Correspondence Add-On is optional, providing the ability to track Regulatory Correspondence to the Regulator regarding IDR’s.</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Objects</w:t>
            </w:r>
          </w:p>
        </w:tc>
        <w:tc>
          <w:tcPr/>
          <w:p>
            <w:pPr>
              <w:pStyle w:val="BodyText"/>
            </w:pPr>
            <w:r>
              <w:t xml:space="preserve">Yes</w:t>
            </w:r>
          </w:p>
        </w:tc>
      </w:tr>
      <w:tr>
        <w:tc>
          <w:tcPr/>
          <w:p>
            <w:pPr>
              <w:pStyle w:val="BodyText"/>
            </w:pPr>
            <w:r>
              <w:t xml:space="preserve">Requires Archer On-Demand License</w:t>
            </w:r>
          </w:p>
        </w:tc>
        <w:tc>
          <w:tcPr/>
          <w:p>
            <w:pPr>
              <w:pStyle w:val="BodyText"/>
            </w:pPr>
            <w:r>
              <w:t xml:space="preserve">Zero (0) Archer On-Demand Application (ODA) licenses are required when installed with the Archer Complaints Tracking app-pack. Otherwise, one (1) Archer On-Demand Application is required.</w:t>
            </w:r>
          </w:p>
        </w:tc>
      </w:tr>
      <w:tr>
        <w:tc>
          <w:tcPr/>
          <w:p>
            <w:pPr>
              <w:pStyle w:val="BodyText"/>
            </w:pPr>
            <w:r>
              <w:t xml:space="preserve">Archer Platform Requirements</w:t>
            </w:r>
          </w:p>
        </w:tc>
        <w:tc>
          <w:tcPr/>
          <w:p>
            <w:pPr>
              <w:pStyle w:val="BodyText"/>
            </w:pPr>
            <w:r>
              <w:t xml:space="preserve">Archer Platform Release 2024.06 and later</w:t>
            </w:r>
          </w:p>
        </w:tc>
      </w:tr>
      <w:tr>
        <w:tc>
          <w:tcPr/>
          <w:p>
            <w:pPr>
              <w:pStyle w:val="BodyText"/>
            </w:pPr>
            <w:r>
              <w:t xml:space="preserve">Supported Archer Environments</w:t>
            </w:r>
          </w:p>
        </w:tc>
        <w:tc>
          <w:tcPr/>
          <w:p>
            <w:pPr>
              <w:numPr>
                <w:ilvl w:val="0"/>
                <w:numId w:val="1009"/>
              </w:numPr>
            </w:pPr>
            <w:r>
              <w:t xml:space="preserve">On-Premises</w:t>
            </w:r>
          </w:p>
          <w:p>
            <w:pPr>
              <w:numPr>
                <w:ilvl w:val="0"/>
                <w:numId w:val="1009"/>
              </w:numPr>
            </w:pPr>
            <w:r>
              <w:t xml:space="preserve">SaaS</w:t>
            </w:r>
          </w:p>
        </w:tc>
      </w:tr>
      <w:tr>
        <w:tc>
          <w:tcPr/>
          <w:p>
            <w:pPr>
              <w:pStyle w:val="FirstParagraph"/>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Compact"/>
            </w:pPr>
            <w:r>
              <w:t xml:space="preserve">Windows Server 2012 R2</w:t>
            </w:r>
          </w:p>
        </w:tc>
      </w:tr>
      <w:tr>
        <w:tc>
          <w:tcPr/>
          <w:p>
            <w:pPr>
              <w:pStyle w:val="BodyText"/>
            </w:pPr>
            <w:r>
              <w:t xml:space="preserve">Database Server</w:t>
            </w:r>
          </w:p>
        </w:tc>
        <w:tc>
          <w:tcPr/>
          <w:p>
            <w:pPr>
              <w:pStyle w:val="Compact"/>
            </w:pPr>
            <w:r>
              <w:t xml:space="preserve">Microsoft SQL Server 2014 (64-bit)</w:t>
            </w:r>
          </w:p>
        </w:tc>
      </w:tr>
      <w:tr>
        <w:tc>
          <w:tcPr/>
          <w:p>
            <w:pPr>
              <w:pStyle w:val="BodyText"/>
            </w:pPr>
            <w:r>
              <w:t xml:space="preserve">Services Server</w:t>
            </w:r>
          </w:p>
        </w:tc>
        <w:tc>
          <w:tcPr/>
          <w:p>
            <w:pPr>
              <w:pStyle w:val="Compact"/>
            </w:pPr>
            <w:r>
              <w:t xml:space="preserve">Java Runtime Environment (JRE) 8 (64-bit)</w:t>
            </w:r>
          </w:p>
        </w:tc>
      </w:tr>
    </w:tbl>
    <w:bookmarkEnd w:id="22"/>
    <w:bookmarkStart w:id="26" w:name="Compatibleusecasesandapplications"/>
    <w:p>
      <w:pPr>
        <w:pStyle w:val="Heading3"/>
      </w:pPr>
      <w:r>
        <w:t xml:space="preserve">Compatible use cases and applications</w:t>
      </w:r>
    </w:p>
    <w:p>
      <w:pPr>
        <w:pStyle w:val="FirstParagraph"/>
      </w:pPr>
      <w:r>
        <w:t xml:space="preserve">This section shows additional features that are available if you have the specified use cases licensed.</w:t>
      </w:r>
    </w:p>
    <w:p>
      <w:pPr>
        <w:pStyle w:val="BodyText"/>
      </w:pPr>
      <w:r>
        <w:t xml:space="preserve">For information on these Archer use cases, see the</w:t>
      </w:r>
      <w:r>
        <w:t xml:space="preserve"> </w:t>
      </w:r>
      <w:hyperlink r:id="rId23">
        <w:r>
          <w:rPr>
            <w:rStyle w:val="Hyperlink"/>
          </w:rPr>
          <w:t xml:space="preserve">Archer Solutions Help</w:t>
        </w:r>
      </w:hyperlink>
      <w:r>
        <w:t xml:space="preserve">.</w:t>
      </w:r>
    </w:p>
    <w:bookmarkStart w:id="24" w:name="Relatedapplications"/>
    <w:p>
      <w:pPr>
        <w:pStyle w:val="Heading4"/>
      </w:pPr>
      <w:r>
        <w:t xml:space="preserve">Related applications</w:t>
      </w:r>
    </w:p>
    <w:p>
      <w:pPr>
        <w:pStyle w:val="TableCaption"/>
      </w:pPr>
      <w:r>
        <w:t xml:space="preserve">The following table lists the related applications for Archer Internal Dispute Resolution.</w:t>
      </w:r>
    </w:p>
    <w:tbl>
      <w:tblPr>
        <w:tblStyle w:val="Table"/>
        <w:tblW w:type="auto" w:w="0"/>
        <w:tblLook w:firstRow="1" w:lastRow="0" w:firstColumn="0" w:lastColumn="0" w:noHBand="0" w:noVBand="0" w:val="0020"/>
        <w:tblCaption w:val="The following table lists the related applications for Archer Internal Dispute Resolution."/>
      </w:tblPr>
      <w:tblGrid>
        <w:gridCol w:w="2640"/>
        <w:gridCol w:w="2640"/>
        <w:gridCol w:w="2640"/>
      </w:tblGrid>
      <w:tr>
        <w:trPr>
          <w:tblHeader w:val="on"/>
        </w:trPr>
        <w:tc>
          <w:tcPr/>
          <w:p>
            <w:pPr>
              <w:pStyle w:val="Compact"/>
            </w:pPr>
            <w:r>
              <w:t xml:space="preserve">Application</w:t>
            </w:r>
          </w:p>
        </w:tc>
        <w:tc>
          <w:tcPr/>
          <w:p>
            <w:pPr>
              <w:pStyle w:val="BodyText"/>
            </w:pPr>
            <w:r>
              <w:t xml:space="preserve">Use Case</w:t>
            </w:r>
          </w:p>
        </w:tc>
        <w:tc>
          <w:tcPr/>
          <w:p>
            <w:pPr>
              <w:pStyle w:val="Compact"/>
            </w:pPr>
            <w:r>
              <w:t xml:space="preserve">Primary Purposes of the Relationship</w:t>
            </w:r>
          </w:p>
        </w:tc>
      </w:tr>
      <w:tr>
        <w:tc>
          <w:tcPr/>
          <w:p>
            <w:pPr>
              <w:pStyle w:val="BodyText"/>
            </w:pPr>
            <w:r>
              <w:t xml:space="preserve">Control Procedures</w:t>
            </w:r>
          </w:p>
        </w:tc>
        <w:tc>
          <w:tcPr/>
          <w:p>
            <w:pPr>
              <w:pStyle w:val="BodyText"/>
            </w:pPr>
            <w:r>
              <w:t xml:space="preserve">Controls Assurance Program Management (Regulatory &amp; Corporate Compliance)</w:t>
            </w:r>
          </w:p>
          <w:p>
            <w:pPr>
              <w:pStyle w:val="BodyText"/>
            </w:pPr>
            <w:r>
              <w:t xml:space="preserve">IT Controls Assurance (IT Security Risk Management)</w:t>
            </w:r>
          </w:p>
        </w:tc>
        <w:tc>
          <w:tcPr/>
          <w:p>
            <w:pPr>
              <w:pStyle w:val="BodyText"/>
            </w:pPr>
            <w:r>
              <w:t xml:space="preserve">You can link the IDR Complaint to your Control framework.</w:t>
            </w:r>
          </w:p>
        </w:tc>
      </w:tr>
      <w:tr>
        <w:tc>
          <w:tcPr/>
          <w:p>
            <w:pPr>
              <w:pStyle w:val="BodyText"/>
            </w:pPr>
            <w:r>
              <w:t xml:space="preserve">Regulatory Correspondences</w:t>
            </w:r>
          </w:p>
        </w:tc>
        <w:tc>
          <w:tcPr/>
          <w:p>
            <w:pPr>
              <w:pStyle w:val="BodyText"/>
            </w:pPr>
            <w:r>
              <w:t xml:space="preserve">Individual Accountability Management – FAR Add-On Regulatory Correspondence</w:t>
            </w:r>
          </w:p>
        </w:tc>
        <w:tc>
          <w:tcPr/>
          <w:p>
            <w:pPr>
              <w:pStyle w:val="BodyText"/>
            </w:pPr>
            <w:r>
              <w:t xml:space="preserve">The regulatory correspondence application allows you to track regulatory correspondence to ASIC for the IDR complaints that require reporting. This application allows you to capture submission dates and status tracking.</w:t>
            </w:r>
          </w:p>
        </w:tc>
      </w:tr>
      <w:tr>
        <w:tc>
          <w:tcPr/>
          <w:p>
            <w:pPr>
              <w:pStyle w:val="BodyText"/>
            </w:pPr>
            <w:r>
              <w:t xml:space="preserve">Business Process</w:t>
            </w:r>
          </w:p>
        </w:tc>
        <w:tc>
          <w:tcPr/>
          <w:p>
            <w:pPr>
              <w:pStyle w:val="BodyText"/>
            </w:pPr>
            <w:r>
              <w:t xml:space="preserve">Business Impact Analysis</w:t>
            </w:r>
          </w:p>
        </w:tc>
        <w:tc>
          <w:tcPr/>
          <w:p>
            <w:pPr>
              <w:pStyle w:val="BodyText"/>
            </w:pPr>
            <w:r>
              <w:t xml:space="preserve">The Business Processes application captures the base data for a given process. A process may be assigned to a particular business unit or shared across multiple business units. Processes are related to products and services, applications, controls, scoping decisions and process walk-throughs.</w:t>
            </w:r>
          </w:p>
        </w:tc>
      </w:tr>
      <w:tr>
        <w:tc>
          <w:tcPr/>
          <w:p>
            <w:pPr>
              <w:pStyle w:val="BodyText"/>
            </w:pPr>
            <w:r>
              <w:t xml:space="preserve">Policies</w:t>
            </w:r>
          </w:p>
        </w:tc>
        <w:tc>
          <w:tcPr/>
          <w:p>
            <w:pPr>
              <w:pStyle w:val="BodyText"/>
            </w:pPr>
            <w:r>
              <w:t xml:space="preserve">Policy Program Management</w:t>
            </w:r>
          </w:p>
          <w:p>
            <w:pPr>
              <w:pStyle w:val="BodyText"/>
            </w:pPr>
            <w:r>
              <w:t xml:space="preserve">IT Policy Program Management</w:t>
            </w:r>
          </w:p>
        </w:tc>
        <w:tc>
          <w:tcPr/>
          <w:p>
            <w:pPr>
              <w:pStyle w:val="BodyText"/>
            </w:pPr>
            <w:r>
              <w:t xml:space="preserve">The Policies application allows you to centralize corporate policy content, manage the review and approval process, and deliver policies to end users based on their job functions. The application provides a best-practice framework for creating, normalizing and rationalizing policy content based on your corporate objectives and the authoritative sources that govern your business. All employees of an organization typically use this application.</w:t>
            </w:r>
          </w:p>
        </w:tc>
      </w:tr>
      <w:tr>
        <w:tc>
          <w:tcPr/>
          <w:p>
            <w:pPr>
              <w:pStyle w:val="BodyText"/>
            </w:pPr>
            <w:r>
              <w:t xml:space="preserve">Obligations</w:t>
            </w:r>
          </w:p>
        </w:tc>
        <w:tc>
          <w:tcPr/>
          <w:p>
            <w:pPr>
              <w:pStyle w:val="BodyText"/>
            </w:pPr>
            <w:r>
              <w:t xml:space="preserve">Policy Program Management</w:t>
            </w:r>
          </w:p>
          <w:p>
            <w:pPr>
              <w:pStyle w:val="BodyText"/>
            </w:pPr>
            <w:r>
              <w:t xml:space="preserve">IT Policy Program Management</w:t>
            </w:r>
          </w:p>
        </w:tc>
        <w:tc>
          <w:tcPr/>
          <w:p>
            <w:pPr>
              <w:pStyle w:val="BodyText"/>
            </w:pPr>
            <w:r>
              <w:t xml:space="preserve">This provides the ability to link IDR Complaints to the relevant/impacted Obligation.</w:t>
            </w:r>
          </w:p>
        </w:tc>
      </w:tr>
      <w:tr>
        <w:tc>
          <w:tcPr/>
          <w:p>
            <w:pPr>
              <w:pStyle w:val="BodyText"/>
            </w:pPr>
            <w:r>
              <w:t xml:space="preserve">Business Unit</w:t>
            </w:r>
          </w:p>
        </w:tc>
        <w:tc>
          <w:tcPr/>
          <w:p>
            <w:pPr>
              <w:pStyle w:val="BodyText"/>
            </w:pPr>
            <w:r>
              <w:t xml:space="preserve">Business Asset Catalog</w:t>
            </w:r>
          </w:p>
          <w:p>
            <w:pPr>
              <w:pStyle w:val="BodyText"/>
            </w:pPr>
            <w:r>
              <w:t xml:space="preserve">IT Asset Catalog</w:t>
            </w:r>
          </w:p>
        </w:tc>
        <w:tc>
          <w:tcPr/>
          <w:p>
            <w:pPr>
              <w:pStyle w:val="BodyText"/>
            </w:pPr>
            <w:r>
              <w:t xml:space="preserve">The Business Unit application provides the user with a detailed view of all activities related to the specific business unit. Utilizing this application, users can view related risks, control procedures, incidents, products and services and other enterprise-level information and see how changes to these related elements influence the overall business unit.</w:t>
            </w:r>
          </w:p>
        </w:tc>
      </w:tr>
      <w:tr>
        <w:tc>
          <w:tcPr/>
          <w:p>
            <w:pPr>
              <w:pStyle w:val="BodyText"/>
            </w:pPr>
            <w:r>
              <w:t xml:space="preserve">Findings</w:t>
            </w:r>
          </w:p>
        </w:tc>
        <w:tc>
          <w:tcPr/>
          <w:p>
            <w:pPr>
              <w:pStyle w:val="BodyText"/>
            </w:pPr>
            <w:r>
              <w:t xml:space="preserve">Issues Management</w:t>
            </w:r>
          </w:p>
        </w:tc>
        <w:tc>
          <w:tcPr/>
          <w:p>
            <w:pPr>
              <w:pStyle w:val="BodyText"/>
            </w:pPr>
            <w:r>
              <w:t xml:space="preserve">The Findings application supports multiple solutions. It is used to document issues, deficiencies or gaps found through assessments and control testing. Findings are auto-generated from questionnaires and include links back to the questionnaire, target and any applicable control standards and authoritative sources.</w:t>
            </w:r>
          </w:p>
        </w:tc>
      </w:tr>
      <w:tr>
        <w:tc>
          <w:tcPr/>
          <w:p>
            <w:pPr>
              <w:pStyle w:val="BodyText"/>
            </w:pPr>
            <w:r>
              <w:t xml:space="preserve">Exception Request</w:t>
            </w:r>
          </w:p>
        </w:tc>
        <w:tc>
          <w:tcPr/>
          <w:p>
            <w:pPr>
              <w:pStyle w:val="BodyText"/>
            </w:pPr>
            <w:r>
              <w:t xml:space="preserve">Issues Management</w:t>
            </w:r>
          </w:p>
        </w:tc>
        <w:tc>
          <w:tcPr/>
          <w:p>
            <w:pPr>
              <w:pStyle w:val="BodyText"/>
            </w:pPr>
            <w:r>
              <w:t xml:space="preserve">The Exception Requests application allows you to manage the process of granting and expiring exceptions to policies and control standards. Through built-in workflow, the application enables you to ensure that all exceptions are properly reviewed.</w:t>
            </w:r>
          </w:p>
        </w:tc>
      </w:tr>
      <w:tr>
        <w:tc>
          <w:tcPr/>
          <w:p>
            <w:pPr>
              <w:pStyle w:val="BodyText"/>
            </w:pPr>
            <w:r>
              <w:t xml:space="preserve">Remediation Plan</w:t>
            </w:r>
          </w:p>
        </w:tc>
        <w:tc>
          <w:tcPr/>
          <w:p>
            <w:pPr>
              <w:pStyle w:val="BodyText"/>
            </w:pPr>
            <w:r>
              <w:t xml:space="preserve">Issues Management</w:t>
            </w:r>
          </w:p>
        </w:tc>
        <w:tc>
          <w:tcPr/>
          <w:p>
            <w:pPr>
              <w:pStyle w:val="BodyText"/>
            </w:pPr>
            <w:r>
              <w:t xml:space="preserve">The Remediation Plans application allows you to centrally manage multiple findings and track actual and estimated remediation costs and timeframes. Relating multiple findings in the context of remediation plans allows you to identify larger issues and support informed decision making.</w:t>
            </w:r>
          </w:p>
        </w:tc>
      </w:tr>
      <w:tr>
        <w:tc>
          <w:tcPr/>
          <w:p>
            <w:pPr>
              <w:pStyle w:val="BodyText"/>
            </w:pPr>
            <w:r>
              <w:t xml:space="preserve">Third Party Profile</w:t>
            </w:r>
          </w:p>
        </w:tc>
        <w:tc>
          <w:tcPr/>
          <w:p>
            <w:pPr>
              <w:pStyle w:val="BodyText"/>
            </w:pPr>
            <w:r>
              <w:t xml:space="preserve">Third Party Catalog</w:t>
            </w:r>
          </w:p>
        </w:tc>
        <w:tc>
          <w:tcPr/>
          <w:p>
            <w:pPr>
              <w:pStyle w:val="BodyText"/>
            </w:pPr>
            <w:r>
              <w:t xml:space="preserve">The Third Party Profile application is used to document all of the third party relationships used by an organization. In this application, the organizational structure of the third party relationship is established, third party contacts documented, and relationship manager, risk analyst, and procurement / legal officer accountabilities are created.</w:t>
            </w:r>
          </w:p>
        </w:tc>
      </w:tr>
      <w:tr>
        <w:tc>
          <w:tcPr/>
          <w:p>
            <w:pPr>
              <w:pStyle w:val="BodyText"/>
            </w:pPr>
            <w:r>
              <w:t xml:space="preserve">Contacts</w:t>
            </w:r>
          </w:p>
        </w:tc>
        <w:tc>
          <w:tcPr/>
          <w:p>
            <w:pPr>
              <w:pStyle w:val="BodyText"/>
            </w:pPr>
            <w:r>
              <w:t xml:space="preserve">Policy Program Management</w:t>
            </w:r>
          </w:p>
        </w:tc>
        <w:tc>
          <w:tcPr/>
          <w:p>
            <w:pPr>
              <w:pStyle w:val="BodyText"/>
            </w:pPr>
            <w:r>
              <w:t xml:space="preserve">The Contacts application serves as a central repository for contact information, enabling management to document information about the personnel involved in key organizational tasks, such as device administration and business process ownership. This application is utilized across multiple areas of the Archer Suite and contains information that is often leveraged by other solutions.</w:t>
            </w:r>
          </w:p>
        </w:tc>
      </w:tr>
      <w:tr>
        <w:tc>
          <w:tcPr/>
          <w:p>
            <w:pPr>
              <w:pStyle w:val="BodyText"/>
            </w:pPr>
            <w:r>
              <w:t xml:space="preserve">Product and Services</w:t>
            </w:r>
          </w:p>
        </w:tc>
        <w:tc>
          <w:tcPr/>
          <w:p>
            <w:pPr>
              <w:pStyle w:val="BodyText"/>
            </w:pPr>
            <w:r>
              <w:t xml:space="preserve">Controls Assurance Program Management</w:t>
            </w:r>
          </w:p>
          <w:p>
            <w:pPr>
              <w:pStyle w:val="BodyText"/>
            </w:pPr>
            <w:r>
              <w:t xml:space="preserve">Business Asset Catalog</w:t>
            </w:r>
          </w:p>
        </w:tc>
        <w:tc>
          <w:tcPr/>
          <w:p>
            <w:pPr>
              <w:pStyle w:val="BodyText"/>
            </w:pPr>
            <w:r>
              <w:t xml:space="preserve">The Products and Services application maintains all products and services provided within an organization. For example, a financial services firm provides a variety of products and services, such as banking, brokerage and lending services.</w:t>
            </w:r>
          </w:p>
        </w:tc>
      </w:tr>
      <w:tr>
        <w:tc>
          <w:tcPr/>
          <w:p>
            <w:pPr>
              <w:pStyle w:val="BodyText"/>
            </w:pPr>
            <w:r>
              <w:t xml:space="preserve">Operational Incidents</w:t>
            </w:r>
          </w:p>
        </w:tc>
        <w:tc>
          <w:tcPr/>
          <w:p>
            <w:pPr>
              <w:pStyle w:val="BodyText"/>
            </w:pPr>
            <w:r>
              <w:t xml:space="preserve">Incident Management</w:t>
            </w:r>
          </w:p>
        </w:tc>
        <w:tc>
          <w:tcPr/>
          <w:p>
            <w:pPr>
              <w:pStyle w:val="BodyText"/>
            </w:pPr>
            <w:r>
              <w:t xml:space="preserve">This application facilitates the reporting of cyber and physical incidents, including categorization and determination of the appropriate response procedures.</w:t>
            </w:r>
          </w:p>
        </w:tc>
      </w:tr>
      <w:tr>
        <w:tc>
          <w:tcPr/>
          <w:p>
            <w:pPr>
              <w:pStyle w:val="BodyText"/>
            </w:pPr>
            <w:r>
              <w:t xml:space="preserve">Risks</w:t>
            </w:r>
          </w:p>
        </w:tc>
        <w:tc>
          <w:tcPr/>
          <w:p>
            <w:pPr>
              <w:pStyle w:val="BodyText"/>
            </w:pPr>
            <w:r>
              <w:t xml:space="preserve">Top-Down Assessment</w:t>
            </w:r>
          </w:p>
        </w:tc>
        <w:tc>
          <w:tcPr/>
          <w:p>
            <w:pPr>
              <w:pStyle w:val="BodyText"/>
            </w:pPr>
            <w:r>
              <w:t xml:space="preserve">The Risks application serves as the corporate controlled instantiation of risks used by the entire organization. It allows users to capture data for an instance of a risk from any given risk statement.</w:t>
            </w:r>
          </w:p>
        </w:tc>
      </w:tr>
    </w:tbl>
    <w:bookmarkEnd w:id="24"/>
    <w:bookmarkStart w:id="25" w:name="AdditionalResources"/>
    <w:p>
      <w:pPr>
        <w:pStyle w:val="Heading4"/>
      </w:pPr>
      <w:r>
        <w:t xml:space="preserve">Additional Resources</w:t>
      </w:r>
    </w:p>
    <w:p>
      <w:pPr>
        <w:pStyle w:val="FirstParagraph"/>
      </w:pPr>
      <w:r>
        <w:t xml:space="preserve">The following additional resources are available for this offering:</w:t>
      </w:r>
    </w:p>
    <w:p>
      <w:pPr>
        <w:numPr>
          <w:ilvl w:val="0"/>
          <w:numId w:val="1010"/>
        </w:numPr>
      </w:pPr>
      <w:r>
        <w:t xml:space="preserve">Australian Securities &amp; Investments Commission (ASIC) RG 271:</w:t>
      </w:r>
      <w:r>
        <w:t xml:space="preserve"> </w:t>
      </w:r>
      <w:hyperlink r:id="rId20">
        <w:r>
          <w:rPr>
            <w:rStyle w:val="Hyperlink"/>
          </w:rPr>
          <w:t xml:space="preserve">https://asic.gov.au/regulatory-resources/find-a-document/regulatory-guides/rg-271-internal-dispute-resolution/</w:t>
        </w:r>
      </w:hyperlink>
    </w:p>
    <w:bookmarkEnd w:id="25"/>
    <w:bookmarkEnd w:id="26"/>
    <w:bookmarkEnd w:id="27"/>
    <w:bookmarkStart w:id="38" w:name="X1d46f1dfa960642a8a8c174c7cbaa831adff676"/>
    <w:p>
      <w:pPr>
        <w:pStyle w:val="Heading2"/>
      </w:pPr>
      <w:r>
        <w:t xml:space="preserve">Archer Internal Dispute Resolution components</w:t>
      </w:r>
    </w:p>
    <w:bookmarkStart w:id="31" w:name="Architecturediagram"/>
    <w:p>
      <w:pPr>
        <w:pStyle w:val="Heading3"/>
      </w:pPr>
      <w:r>
        <w:t xml:space="preserve">Architecture diagram</w:t>
      </w:r>
    </w:p>
    <w:p>
      <w:pPr>
        <w:pStyle w:val="FirstParagraph"/>
      </w:pPr>
      <w:r>
        <w:t xml:space="preserve">The following diagram shows the relationships between the applications that make up Archer Internal Dispute Resolution.</w:t>
      </w:r>
    </w:p>
    <w:p>
      <w:pPr>
        <w:pStyle w:val="BodyText"/>
      </w:pPr>
      <w:r>
        <w:drawing>
          <wp:inline>
            <wp:extent cx="5334000" cy="2970355"/>
            <wp:effectExtent b="0" l="0" r="0" t="0"/>
            <wp:docPr descr="" title="" id="29" name="Picture"/>
            <a:graphic>
              <a:graphicData uri="http://schemas.openxmlformats.org/drawingml/2006/picture">
                <pic:pic>
                  <pic:nvPicPr>
                    <pic:cNvPr descr="C:/Users/User/HelpArcher-to-pdf/HelpArcher-to-pdf-1/images/9f043f131d7c8c9373cbd2ae858f255d.png" id="30" name="Picture"/>
                    <pic:cNvPicPr>
                      <a:picLocks noChangeArrowheads="1" noChangeAspect="1"/>
                    </pic:cNvPicPr>
                  </pic:nvPicPr>
                  <pic:blipFill>
                    <a:blip r:embed="rId28"/>
                    <a:stretch>
                      <a:fillRect/>
                    </a:stretch>
                  </pic:blipFill>
                  <pic:spPr bwMode="auto">
                    <a:xfrm>
                      <a:off x="0" y="0"/>
                      <a:ext cx="5334000" cy="2970355"/>
                    </a:xfrm>
                    <a:prstGeom prst="rect">
                      <a:avLst/>
                    </a:prstGeom>
                    <a:noFill/>
                    <a:ln w="9525">
                      <a:noFill/>
                      <a:headEnd/>
                      <a:tailEnd/>
                    </a:ln>
                  </pic:spPr>
                </pic:pic>
              </a:graphicData>
            </a:graphic>
          </wp:inline>
        </w:drawing>
      </w:r>
    </w:p>
    <w:bookmarkEnd w:id="31"/>
    <w:bookmarkStart w:id="35" w:name="Processdiagram"/>
    <w:p>
      <w:pPr>
        <w:pStyle w:val="Heading3"/>
      </w:pPr>
      <w:r>
        <w:t xml:space="preserve">Process diagram</w:t>
      </w:r>
    </w:p>
    <w:p>
      <w:pPr>
        <w:pStyle w:val="FirstParagraph"/>
      </w:pPr>
      <w:r>
        <w:t xml:space="preserve">The following diagram shows the general workflow of the application.</w:t>
      </w:r>
    </w:p>
    <w:p>
      <w:pPr>
        <w:pStyle w:val="BodyText"/>
      </w:pPr>
      <w:r>
        <w:drawing>
          <wp:inline>
            <wp:extent cx="5153890" cy="3421006"/>
            <wp:effectExtent b="0" l="0" r="0" t="0"/>
            <wp:docPr descr="" title="" id="33" name="Picture"/>
            <a:graphic>
              <a:graphicData uri="http://schemas.openxmlformats.org/drawingml/2006/picture">
                <pic:pic>
                  <pic:nvPicPr>
                    <pic:cNvPr descr="C:/Users/User/HelpArcher-to-pdf/HelpArcher-to-pdf-1/images/9f7ec6980cb95c4f44bf042859e8717c.png" id="34" name="Picture"/>
                    <pic:cNvPicPr>
                      <a:picLocks noChangeArrowheads="1" noChangeAspect="1"/>
                    </pic:cNvPicPr>
                  </pic:nvPicPr>
                  <pic:blipFill>
                    <a:blip r:embed="rId32"/>
                    <a:stretch>
                      <a:fillRect/>
                    </a:stretch>
                  </pic:blipFill>
                  <pic:spPr bwMode="auto">
                    <a:xfrm>
                      <a:off x="0" y="0"/>
                      <a:ext cx="5153890" cy="3421006"/>
                    </a:xfrm>
                    <a:prstGeom prst="rect">
                      <a:avLst/>
                    </a:prstGeom>
                    <a:noFill/>
                    <a:ln w="9525">
                      <a:noFill/>
                      <a:headEnd/>
                      <a:tailEnd/>
                    </a:ln>
                  </pic:spPr>
                </pic:pic>
              </a:graphicData>
            </a:graphic>
          </wp:inline>
        </w:drawing>
      </w:r>
    </w:p>
    <w:bookmarkEnd w:id="35"/>
    <w:bookmarkStart w:id="36" w:name="Applications"/>
    <w:p>
      <w:pPr>
        <w:pStyle w:val="Heading3"/>
      </w:pPr>
      <w:r>
        <w:t xml:space="preserve">Applications</w:t>
      </w:r>
    </w:p>
    <w:p>
      <w:pPr>
        <w:pStyle w:val="TableCaption"/>
      </w:pPr>
      <w:r>
        <w:t xml:space="preserve">The following table describes the Archer Internal Dispute Resolution applications.</w:t>
      </w:r>
    </w:p>
    <w:tbl>
      <w:tblPr>
        <w:tblStyle w:val="Table"/>
        <w:tblW w:type="auto" w:w="0"/>
        <w:tblLook w:firstRow="0" w:lastRow="0" w:firstColumn="0" w:lastColumn="0" w:noHBand="0" w:noVBand="0" w:val="0000"/>
        <w:tblCaption w:val="The following table describes the Archer Internal Dispute Resolution applications."/>
      </w:tblPr>
      <w:tblGrid>
        <w:gridCol w:w="3960"/>
        <w:gridCol w:w="3960"/>
      </w:tblGrid>
      <w:tr>
        <w:tc>
          <w:tcPr/>
          <w:p>
            <w:pPr>
              <w:pStyle w:val="BodyText"/>
            </w:pPr>
            <w:r>
              <w:t xml:space="preserve">Application</w:t>
            </w:r>
          </w:p>
        </w:tc>
        <w:tc>
          <w:tcPr/>
          <w:p>
            <w:pPr>
              <w:pStyle w:val="BodyText"/>
            </w:pPr>
            <w:r>
              <w:t xml:space="preserve">Description</w:t>
            </w:r>
          </w:p>
        </w:tc>
      </w:tr>
      <w:tr>
        <w:tc>
          <w:tcPr/>
          <w:p>
            <w:pPr>
              <w:pStyle w:val="BodyText"/>
            </w:pPr>
            <w:r>
              <w:t xml:space="preserve">Internal Dispute Resolution</w:t>
            </w:r>
          </w:p>
        </w:tc>
        <w:tc>
          <w:tcPr/>
          <w:p>
            <w:pPr>
              <w:pStyle w:val="BodyText"/>
            </w:pPr>
            <w:r>
              <w:t xml:space="preserve">The Archer Internal Dispute Resolution accelerator assists organizations in meeting the requirements of ASIC RG 271 regulation. Integrated with ASIC's specified Complaint Types, it establishes the maximum internal dispute resolution timeframe corresponding to each complaint type.</w:t>
            </w:r>
          </w:p>
        </w:tc>
      </w:tr>
    </w:tbl>
    <w:bookmarkEnd w:id="36"/>
    <w:bookmarkStart w:id="37" w:name="Personasandaccessroles"/>
    <w:p>
      <w:pPr>
        <w:pStyle w:val="Heading3"/>
      </w:pPr>
      <w:r>
        <w:t xml:space="preserve">Personas and access roles</w:t>
      </w:r>
    </w:p>
    <w:p>
      <w:pPr>
        <w:pStyle w:val="TableCaption"/>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Caption w:val="The following table describes the functions that make up the application’s organization roles. Depending on the organization of your company, these functions and responsibilities may vary."/>
      </w:tblPr>
      <w:tblGrid>
        <w:gridCol w:w="3960"/>
        <w:gridCol w:w="3960"/>
      </w:tblGrid>
      <w:tr>
        <w:trPr>
          <w:tblHeader w:val="on"/>
        </w:trPr>
        <w:tc>
          <w:tcPr/>
          <w:p>
            <w:pPr>
              <w:pStyle w:val="Compact"/>
            </w:pPr>
            <w:r>
              <w:t xml:space="preserve">Persona</w:t>
            </w:r>
          </w:p>
        </w:tc>
        <w:tc>
          <w:tcPr/>
          <w:p>
            <w:pPr>
              <w:pStyle w:val="Compact"/>
            </w:pPr>
            <w:r>
              <w:t xml:space="preserve">Description</w:t>
            </w:r>
          </w:p>
        </w:tc>
      </w:tr>
      <w:tr>
        <w:tc>
          <w:tcPr/>
          <w:p>
            <w:pPr>
              <w:pStyle w:val="BodyText"/>
            </w:pPr>
            <w:r>
              <w:t xml:space="preserve">Complaint Submitter</w:t>
            </w:r>
          </w:p>
        </w:tc>
        <w:tc>
          <w:tcPr/>
          <w:p>
            <w:pPr>
              <w:pStyle w:val="BodyText"/>
            </w:pPr>
            <w:r>
              <w:t xml:space="preserve">Creates the complaint records. Add the details for the complaints like, acknowledgment, responses, etc. Submits record for review.</w:t>
            </w:r>
          </w:p>
        </w:tc>
      </w:tr>
      <w:tr>
        <w:tc>
          <w:tcPr/>
          <w:p>
            <w:pPr>
              <w:pStyle w:val="BodyText"/>
            </w:pPr>
            <w:r>
              <w:t xml:space="preserve">Complaint Owner</w:t>
            </w:r>
          </w:p>
        </w:tc>
        <w:tc>
          <w:tcPr/>
          <w:p>
            <w:pPr>
              <w:pStyle w:val="BodyText"/>
            </w:pPr>
            <w:r>
              <w:t xml:space="preserve">Review the complaint record. Based on the review decides to escalate, investigate, close or cancel.</w:t>
            </w:r>
          </w:p>
        </w:tc>
      </w:tr>
      <w:tr>
        <w:tc>
          <w:tcPr/>
          <w:p>
            <w:pPr>
              <w:pStyle w:val="BodyText"/>
            </w:pPr>
            <w:r>
              <w:t xml:space="preserve">Complaint Reviewer</w:t>
            </w:r>
          </w:p>
        </w:tc>
        <w:tc>
          <w:tcPr/>
          <w:p>
            <w:pPr>
              <w:pStyle w:val="BodyText"/>
            </w:pPr>
            <w:r>
              <w:t xml:space="preserve">Reviews the record for investigation or escalation post which closes the record.</w:t>
            </w:r>
          </w:p>
        </w:tc>
      </w:tr>
    </w:tbl>
    <w:bookmarkEnd w:id="37"/>
    <w:bookmarkEnd w:id="38"/>
    <w:bookmarkStart w:id="74" w:name="Xd7b8343f21cd415dfa153100f714dace60d620c"/>
    <w:p>
      <w:pPr>
        <w:pStyle w:val="Heading2"/>
      </w:pPr>
      <w:r>
        <w:t xml:space="preserve">Installing Archer internal dispute resolution</w:t>
      </w:r>
    </w:p>
    <w:bookmarkStart w:id="39"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9"/>
    <w:bookmarkStart w:id="73" w:name="Installation"/>
    <w:p>
      <w:pPr>
        <w:pStyle w:val="Heading3"/>
      </w:pPr>
      <w:r>
        <w:t xml:space="preserve">Installation</w:t>
      </w:r>
    </w:p>
    <w:p>
      <w:pPr>
        <w:pStyle w:val="FirstParagraph"/>
      </w:pPr>
      <w:r>
        <w:t xml:space="preserve">Complete the following tasks to install Archer Internal Dispute Resolution.</w:t>
      </w:r>
    </w:p>
    <w:bookmarkStart w:id="41" w:name="Step1Preparefortheinstallation"/>
    <w:p>
      <w:pPr>
        <w:pStyle w:val="Heading4"/>
      </w:pPr>
      <w:r>
        <w:t xml:space="preserve">Step 1: Prepare for the installation</w:t>
      </w:r>
    </w:p>
    <w:p>
      <w:pPr>
        <w:numPr>
          <w:ilvl w:val="0"/>
          <w:numId w:val="1011"/>
        </w:numPr>
      </w:pPr>
      <w:r>
        <w:t xml:space="preserve">Ensure that your Archer system meets the following requirements:</w:t>
      </w:r>
    </w:p>
    <w:p>
      <w:pPr>
        <w:numPr>
          <w:ilvl w:val="1"/>
          <w:numId w:val="1012"/>
        </w:numPr>
      </w:pPr>
      <w:r>
        <w:t xml:space="preserve">Archer Platform version 2024.06</w:t>
      </w:r>
    </w:p>
    <w:p>
      <w:pPr>
        <w:numPr>
          <w:ilvl w:val="0"/>
          <w:numId w:val="1011"/>
        </w:numPr>
      </w:pPr>
      <w:r>
        <w:t xml:space="preserve">Obtain the Data Dictionary for the ODA by contacting your Archer Account Representative or calling 1-888-539-EGRC. The Data Dictionary contains the configuration information for the use case.</w:t>
      </w:r>
    </w:p>
    <w:p>
      <w:pPr>
        <w:pStyle w:val="Compact"/>
        <w:numPr>
          <w:ilvl w:val="0"/>
          <w:numId w:val="1011"/>
        </w:numPr>
      </w:pPr>
      <w:r>
        <w:t xml:space="preserve">Read and understand "Packaging Data" in the</w:t>
      </w:r>
      <w:r>
        <w:t xml:space="preserve"> </w:t>
      </w:r>
      <w:hyperlink r:id="rId40">
        <w:r>
          <w:rPr>
            <w:rStyle w:val="Hyperlink"/>
          </w:rPr>
          <w:t xml:space="preserve">Archer</w:t>
        </w:r>
        <w:r>
          <w:rPr>
            <w:rStyle w:val="Hyperlink"/>
          </w:rPr>
          <w:t xml:space="preserve"> </w:t>
        </w:r>
        <w:r>
          <w:rPr>
            <w:rStyle w:val="Hyperlink"/>
          </w:rPr>
          <w:t xml:space="preserve">Platform Help</w:t>
        </w:r>
      </w:hyperlink>
      <w:r>
        <w:t xml:space="preserve">.</w:t>
      </w:r>
    </w:p>
    <w:bookmarkEnd w:id="41"/>
    <w:bookmarkStart w:id="71"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w:t>
      </w:r>
    </w:p>
    <w:p>
      <w:pPr>
        <w:pStyle w:val="BodyText"/>
      </w:pPr>
      <w:r>
        <w:t xml:space="preserve">Task 1: Back up your database</w:t>
      </w:r>
    </w:p>
    <w:p>
      <w:pPr>
        <w:pStyle w:val="BodyText"/>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p>
      <w:pPr>
        <w:pStyle w:val="BodyText"/>
      </w:pPr>
      <w:r>
        <w:t xml:space="preserve">Task 2: Import the package</w:t>
      </w:r>
    </w:p>
    <w:p>
      <w:pPr>
        <w:numPr>
          <w:ilvl w:val="0"/>
          <w:numId w:val="1013"/>
        </w:numPr>
      </w:pPr>
      <w:r>
        <w:t xml:space="preserve">From the menu bar, click</w:t>
      </w:r>
      <w:r>
        <w:t xml:space="preserve"> </w:t>
      </w:r>
      <w:r>
        <w:drawing>
          <wp:inline>
            <wp:extent cx="269507" cy="250256"/>
            <wp:effectExtent b="0" l="0" r="0" t="0"/>
            <wp:docPr descr="Admin menu" title="Admin menu" id="43" name="Picture"/>
            <a:graphic>
              <a:graphicData uri="http://schemas.openxmlformats.org/drawingml/2006/picture">
                <pic:pic>
                  <pic:nvPicPr>
                    <pic:cNvPr descr="C:/Users/User/HelpArcher-to-pdf/HelpArcher-to-pdf-1/images/d5abb064f35d6a5b0eecfc4362999618.png" id="44"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3"/>
        </w:numPr>
      </w:pPr>
      <w:r>
        <w:t xml:space="preserve">In the Available Packages section, click Import.</w:t>
      </w:r>
    </w:p>
    <w:p>
      <w:pPr>
        <w:pStyle w:val="Compact"/>
        <w:numPr>
          <w:ilvl w:val="0"/>
          <w:numId w:val="1013"/>
        </w:numPr>
      </w:pPr>
      <w:r>
        <w:t xml:space="preserve">Click Add New, then locate and select the package file that you want to import.</w:t>
      </w:r>
    </w:p>
    <w:p>
      <w:pPr>
        <w:numPr>
          <w:ilvl w:val="0"/>
          <w:numId w:val="1013"/>
        </w:numPr>
      </w:pPr>
      <w:r>
        <w:t xml:space="preserve">Click OK.</w:t>
      </w:r>
    </w:p>
    <w:p>
      <w:pPr>
        <w:numPr>
          <w:ilvl w:val="0"/>
          <w:numId w:val="1000"/>
        </w:numPr>
      </w:pPr>
      <w:r>
        <w:t xml:space="preserve">The package file is displayed in the Available Packages section and is ready for installation.</w:t>
      </w:r>
    </w:p>
    <w:p>
      <w:pPr>
        <w:pStyle w:val="FirstParagraph"/>
      </w:pPr>
      <w:r>
        <w:t xml:space="preserve">Task 3: Map objects in the package</w:t>
      </w:r>
    </w:p>
    <w:p>
      <w:pPr>
        <w:pStyle w:val="BodyText"/>
      </w:pPr>
      <w:r>
        <w:rPr>
          <w:b/>
          <w:bCs/>
        </w:rPr>
        <w:t xml:space="preserve">Important:</w:t>
      </w:r>
      <w:r>
        <w:t xml:space="preserve"> </w:t>
      </w:r>
      <w:r>
        <w:t xml:space="preserve">This step is required only if you are upgrading to a later version of the offering.</w:t>
      </w:r>
    </w:p>
    <w:p>
      <w:pPr>
        <w:numPr>
          <w:ilvl w:val="0"/>
          <w:numId w:val="1014"/>
        </w:numPr>
      </w:pPr>
      <w:r>
        <w:t xml:space="preserve">From the menu bar, click</w:t>
      </w:r>
      <w:r>
        <w:t xml:space="preserve"> </w:t>
      </w:r>
      <w:r>
        <w:drawing>
          <wp:inline>
            <wp:extent cx="269507" cy="250256"/>
            <wp:effectExtent b="0" l="0" r="0" t="0"/>
            <wp:docPr descr="Admin menu" title="Admin menu" id="45" name="Picture"/>
            <a:graphic>
              <a:graphicData uri="http://schemas.openxmlformats.org/drawingml/2006/picture">
                <pic:pic>
                  <pic:nvPicPr>
                    <pic:cNvPr descr="C:/Users/User/HelpArcher-to-pdf/HelpArcher-to-pdf-1/images/d5abb064f35d6a5b0eecfc4362999618.png" id="46"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4"/>
        </w:numPr>
      </w:pPr>
      <w:r>
        <w:t xml:space="preserve">In the Available Packages section, locate the package you want to map.</w:t>
      </w:r>
    </w:p>
    <w:p>
      <w:pPr>
        <w:numPr>
          <w:ilvl w:val="0"/>
          <w:numId w:val="1014"/>
        </w:numPr>
      </w:pPr>
      <w:r>
        <w:t xml:space="preserve">In the Actions column, click</w:t>
      </w:r>
      <w:r>
        <w:t xml:space="preserve"> </w:t>
      </w:r>
      <w:r>
        <w:drawing>
          <wp:inline>
            <wp:extent cx="192505" cy="192505"/>
            <wp:effectExtent b="0" l="0" r="0" t="0"/>
            <wp:docPr descr="Map package" title="" id="48" name="Picture"/>
            <a:graphic>
              <a:graphicData uri="http://schemas.openxmlformats.org/drawingml/2006/picture">
                <pic:pic>
                  <pic:nvPicPr>
                    <pic:cNvPr descr="C:/Users/User/HelpArcher-to-pdf/HelpArcher-to-pdf-1/images/bf65c5fa04e1c401d83bc8f2a390417b.png" id="49" name="Picture"/>
                    <pic:cNvPicPr>
                      <a:picLocks noChangeArrowheads="1" noChangeAspect="1"/>
                    </pic:cNvPicPr>
                  </pic:nvPicPr>
                  <pic:blipFill>
                    <a:blip r:embed="rId47"/>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14"/>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1" name="Picture"/>
                  <a:graphic>
                    <a:graphicData uri="http://schemas.openxmlformats.org/drawingml/2006/picture">
                      <pic:pic>
                        <pic:nvPicPr>
                          <pic:cNvPr descr="C:/Users/User/HelpArcher-to-pdf/HelpArcher-to-pdf-1/images/85e21d3f9ec7c896c4dae09bc706d682.png" id="52"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4" name="Picture"/>
                  <a:graphic>
                    <a:graphicData uri="http://schemas.openxmlformats.org/drawingml/2006/picture">
                      <pic:pic>
                        <pic:nvPicPr>
                          <pic:cNvPr descr="C:/Users/User/HelpArcher-to-pdf/HelpArcher-to-pdf-1/images/d71bdb193106f450ac781c24073035d3.png" id="55" name="Picture"/>
                          <pic:cNvPicPr>
                            <a:picLocks noChangeArrowheads="1" noChangeAspect="1"/>
                          </pic:cNvPicPr>
                        </pic:nvPicPr>
                        <pic:blipFill>
                          <a:blip r:embed="rId53"/>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56" name="Picture"/>
            <a:graphic>
              <a:graphicData uri="http://schemas.openxmlformats.org/drawingml/2006/picture">
                <pic:pic>
                  <pic:nvPicPr>
                    <pic:cNvPr descr="C:/Users/User/HelpArcher-to-pdf/HelpArcher-to-pdf-1/images/85e21d3f9ec7c896c4dae09bc706d682.png" id="57"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14"/>
        </w:numPr>
      </w:pPr>
      <w:r>
        <w:t xml:space="preserve">For objects awaiting mapping review, do one of the following:</w:t>
      </w:r>
    </w:p>
    <w:p>
      <w:pPr>
        <w:pStyle w:val="Compact"/>
        <w:numPr>
          <w:ilvl w:val="1"/>
          <w:numId w:val="1015"/>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15"/>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15"/>
        </w:numPr>
      </w:pPr>
      <w:r>
        <w:t xml:space="preserve">To mark all unmapped objects as Do Not Map, click Do Not Map.</w:t>
      </w:r>
    </w:p>
    <w:p>
      <w:pPr>
        <w:numPr>
          <w:ilvl w:val="0"/>
          <w:numId w:val="1014"/>
        </w:numPr>
      </w:pPr>
      <w:r>
        <w:t xml:space="preserve">(Optional) Click</w:t>
      </w:r>
      <w:r>
        <w:t xml:space="preserve"> </w:t>
      </w:r>
      <w:r>
        <w:drawing>
          <wp:inline>
            <wp:extent cx="185437" cy="179043"/>
            <wp:effectExtent b="0" l="0" r="0" t="0"/>
            <wp:docPr descr="Filter" title="Filter" id="59" name="Picture"/>
            <a:graphic>
              <a:graphicData uri="http://schemas.openxmlformats.org/drawingml/2006/picture">
                <pic:pic>
                  <pic:nvPicPr>
                    <pic:cNvPr descr="C:/Users/User/HelpArcher-to-pdf/HelpArcher-to-pdf-1/images/018e0c542d296057d70218c2d2dc51d5.png" id="60" name="Picture"/>
                    <pic:cNvPicPr>
                      <a:picLocks noChangeArrowheads="1" noChangeAspect="1"/>
                    </pic:cNvPicPr>
                  </pic:nvPicPr>
                  <pic:blipFill>
                    <a:blip r:embed="rId58"/>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14"/>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2" name="Picture"/>
            <a:graphic>
              <a:graphicData uri="http://schemas.openxmlformats.org/drawingml/2006/picture">
                <pic:pic>
                  <pic:nvPicPr>
                    <pic:cNvPr descr="C:/Users/User/HelpArcher-to-pdf/HelpArcher-to-pdf-1/images/64f0cdca945d899b42d3006e88df0ca0.jpg" id="63" name="Picture"/>
                    <pic:cNvPicPr>
                      <a:picLocks noChangeArrowheads="1" noChangeAspect="1"/>
                    </pic:cNvPicPr>
                  </pic:nvPicPr>
                  <pic:blipFill>
                    <a:blip r:embed="rId61"/>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14"/>
        </w:numPr>
      </w:pPr>
      <w:r>
        <w:t xml:space="preserve">After you review and map all objects, click Execute.</w:t>
      </w:r>
    </w:p>
    <w:p>
      <w:pPr>
        <w:numPr>
          <w:ilvl w:val="0"/>
          <w:numId w:val="1014"/>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p>
      <w:pPr>
        <w:pStyle w:val="FirstParagraph"/>
      </w:pPr>
      <w:r>
        <w:t xml:space="preserve">Task 4: Install the package</w:t>
      </w:r>
    </w:p>
    <w:p>
      <w:pPr>
        <w:numPr>
          <w:ilvl w:val="0"/>
          <w:numId w:val="1016"/>
        </w:numPr>
      </w:pPr>
      <w:r>
        <w:t xml:space="preserve">From the menu bar, click</w:t>
      </w:r>
      <w:r>
        <w:t xml:space="preserve"> </w:t>
      </w:r>
      <w:r>
        <w:drawing>
          <wp:inline>
            <wp:extent cx="269507" cy="250256"/>
            <wp:effectExtent b="0" l="0" r="0" t="0"/>
            <wp:docPr descr="Admin menu" title="Admin menu" id="64" name="Picture"/>
            <a:graphic>
              <a:graphicData uri="http://schemas.openxmlformats.org/drawingml/2006/picture">
                <pic:pic>
                  <pic:nvPicPr>
                    <pic:cNvPr descr="C:/Users/User/HelpArcher-to-pdf/HelpArcher-to-pdf-1/images/d5abb064f35d6a5b0eecfc4362999618.png" id="65"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6"/>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67" name="Picture"/>
            <a:graphic>
              <a:graphicData uri="http://schemas.openxmlformats.org/drawingml/2006/picture">
                <pic:pic>
                  <pic:nvPicPr>
                    <pic:cNvPr descr="C:/Users/User/HelpArcher-to-pdf/HelpArcher-to-pdf-1/images/81b422b5ceff96326fd5a6231f292fb0.png" id="68" name="Picture"/>
                    <pic:cNvPicPr>
                      <a:picLocks noChangeArrowheads="1" noChangeAspect="1"/>
                    </pic:cNvPicPr>
                  </pic:nvPicPr>
                  <pic:blipFill>
                    <a:blip r:embed="rId66"/>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16"/>
        </w:numPr>
      </w:pPr>
      <w:r>
        <w:t xml:space="preserve">In the Selected Components section, click the Lookup button to open the Package Selector window.</w:t>
      </w:r>
    </w:p>
    <w:p>
      <w:pPr>
        <w:pStyle w:val="Compact"/>
        <w:numPr>
          <w:ilvl w:val="1"/>
          <w:numId w:val="1017"/>
        </w:numPr>
      </w:pPr>
      <w:r>
        <w:t xml:space="preserve">To select all components, select the top-level checkbox.</w:t>
      </w:r>
    </w:p>
    <w:p>
      <w:pPr>
        <w:pStyle w:val="Compact"/>
        <w:numPr>
          <w:ilvl w:val="1"/>
          <w:numId w:val="1017"/>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16"/>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16"/>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16"/>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16"/>
        </w:numPr>
      </w:pPr>
      <w:r>
        <w:t xml:space="preserve">Click Continue to advance to the next object category in the Package Selector, and repeat steps 4 to 6. After reviewing all object categories, click OK.</w:t>
      </w:r>
    </w:p>
    <w:p>
      <w:pPr>
        <w:pStyle w:val="Compact"/>
        <w:numPr>
          <w:ilvl w:val="0"/>
          <w:numId w:val="1016"/>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16"/>
        </w:numPr>
      </w:pPr>
      <w:r>
        <w:t xml:space="preserve">Click Install.</w:t>
      </w:r>
    </w:p>
    <w:p>
      <w:pPr>
        <w:pStyle w:val="Compact"/>
        <w:numPr>
          <w:ilvl w:val="0"/>
          <w:numId w:val="1016"/>
        </w:numPr>
      </w:pPr>
      <w:r>
        <w:t xml:space="preserve">Click OK.</w:t>
      </w:r>
    </w:p>
    <w:p>
      <w:pPr>
        <w:pStyle w:val="FirstParagraph"/>
      </w:pPr>
      <w:r>
        <w:t xml:space="preserve">Task 5: Review the package installation log</w:t>
      </w:r>
    </w:p>
    <w:p>
      <w:pPr>
        <w:numPr>
          <w:ilvl w:val="0"/>
          <w:numId w:val="1018"/>
        </w:numPr>
      </w:pPr>
      <w:r>
        <w:t xml:space="preserve">From the menu bar, click</w:t>
      </w:r>
      <w:r>
        <w:t xml:space="preserve"> </w:t>
      </w:r>
      <w:r>
        <w:drawing>
          <wp:inline>
            <wp:extent cx="269507" cy="250256"/>
            <wp:effectExtent b="0" l="0" r="0" t="0"/>
            <wp:docPr descr="Admin menu" title="Admin menu"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8"/>
        </w:numPr>
      </w:pPr>
      <w:r>
        <w:t xml:space="preserve">In the Package Installation Log section, click the package that you want to view.</w:t>
      </w:r>
    </w:p>
    <w:p>
      <w:pPr>
        <w:numPr>
          <w:ilvl w:val="0"/>
          <w:numId w:val="1018"/>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18"/>
        </w:numPr>
      </w:pPr>
      <w:r>
        <w:t xml:space="preserve">Click the Export icon to export the log file.</w:t>
      </w:r>
    </w:p>
    <w:p>
      <w:pPr>
        <w:pStyle w:val="Compact"/>
        <w:numPr>
          <w:ilvl w:val="0"/>
          <w:numId w:val="1018"/>
        </w:numPr>
      </w:pPr>
      <w:r>
        <w:t xml:space="preserve">Click Close.</w:t>
      </w:r>
    </w:p>
    <w:p>
      <w:pPr>
        <w:pStyle w:val="FirstParagraph"/>
      </w:pPr>
      <w:r>
        <w:t xml:space="preserve">For a list of packaging installation log messages and remediation information for common messages, see Package Installation Log Messages.</w:t>
      </w:r>
    </w:p>
    <w:bookmarkEnd w:id="71"/>
    <w:bookmarkStart w:id="72" w:name="Step3Testtheinstallation"/>
    <w:p>
      <w:pPr>
        <w:pStyle w:val="Heading4"/>
      </w:pPr>
      <w:r>
        <w:t xml:space="preserve">Step 3: Test the installation</w:t>
      </w:r>
    </w:p>
    <w:p>
      <w:pPr>
        <w:pStyle w:val="FirstParagraph"/>
      </w:pPr>
      <w:r>
        <w:t xml:space="preserve">Test the application according to your company standards and procedures, to ensure that the use case works with your existing processes.</w:t>
      </w:r>
    </w:p>
    <w:bookmarkEnd w:id="72"/>
    <w:bookmarkEnd w:id="73"/>
    <w:bookmarkEnd w:id="74"/>
    <w:bookmarkStart w:id="78" w:name="UsingArcherInternalDisputeResolution"/>
    <w:p>
      <w:pPr>
        <w:pStyle w:val="Heading2"/>
      </w:pPr>
      <w:r>
        <w:t xml:space="preserve">Using Archer Internal Dispute Resolution</w:t>
      </w:r>
    </w:p>
    <w:bookmarkStart w:id="75" w:name="RegistertheComplaint"/>
    <w:p>
      <w:pPr>
        <w:pStyle w:val="Heading3"/>
      </w:pPr>
      <w:r>
        <w:t xml:space="preserve">Register the Complaint</w:t>
      </w:r>
    </w:p>
    <w:p>
      <w:pPr>
        <w:pStyle w:val="FirstParagraph"/>
      </w:pPr>
      <w:r>
        <w:t xml:space="preserve">User: Complaint Submitter</w:t>
      </w:r>
    </w:p>
    <w:p>
      <w:pPr>
        <w:numPr>
          <w:ilvl w:val="0"/>
          <w:numId w:val="1019"/>
        </w:numPr>
      </w:pPr>
      <w:r>
        <w:t xml:space="preserve">Go to the Nav Menu and click on Complaints Tracking.</w:t>
      </w:r>
    </w:p>
    <w:p>
      <w:pPr>
        <w:numPr>
          <w:ilvl w:val="0"/>
          <w:numId w:val="1019"/>
        </w:numPr>
      </w:pPr>
      <w:r>
        <w:t xml:space="preserve">From the drop down select the Internal Dispute Resolution application.</w:t>
      </w:r>
    </w:p>
    <w:p>
      <w:pPr>
        <w:numPr>
          <w:ilvl w:val="0"/>
          <w:numId w:val="1019"/>
        </w:numPr>
      </w:pPr>
      <w:r>
        <w:t xml:space="preserve">Create New Record.</w:t>
      </w:r>
    </w:p>
    <w:p>
      <w:pPr>
        <w:numPr>
          <w:ilvl w:val="0"/>
          <w:numId w:val="1019"/>
        </w:numPr>
      </w:pPr>
      <w:r>
        <w:t xml:space="preserve">Update the Complaint Details:</w:t>
      </w:r>
    </w:p>
    <w:p>
      <w:pPr>
        <w:numPr>
          <w:ilvl w:val="0"/>
          <w:numId w:val="1019"/>
        </w:numPr>
      </w:pPr>
      <w:r>
        <w:t xml:space="preserve">Save the record.</w:t>
      </w:r>
    </w:p>
    <w:p>
      <w:pPr>
        <w:numPr>
          <w:ilvl w:val="1"/>
          <w:numId w:val="1020"/>
        </w:numPr>
      </w:pPr>
      <w:r>
        <w:t xml:space="preserve">Based on Complaint Type the Resolution timeframe is auto populated.</w:t>
      </w:r>
    </w:p>
    <w:p>
      <w:pPr>
        <w:numPr>
          <w:ilvl w:val="1"/>
          <w:numId w:val="1020"/>
        </w:numPr>
      </w:pPr>
      <w:r>
        <w:t xml:space="preserve">The Status of the Complaint is Draft.</w:t>
      </w:r>
    </w:p>
    <w:p>
      <w:pPr>
        <w:numPr>
          <w:ilvl w:val="0"/>
          <w:numId w:val="1019"/>
        </w:numPr>
      </w:pPr>
      <w:r>
        <w:t xml:space="preserve">Enter the Date of acknowledgment.</w:t>
      </w:r>
    </w:p>
    <w:p>
      <w:pPr>
        <w:numPr>
          <w:ilvl w:val="0"/>
          <w:numId w:val="1019"/>
        </w:numPr>
      </w:pPr>
      <w:r>
        <w:t xml:space="preserve">Update the Stakeholders.</w:t>
      </w:r>
    </w:p>
    <w:p>
      <w:pPr>
        <w:numPr>
          <w:ilvl w:val="0"/>
          <w:numId w:val="1019"/>
        </w:numPr>
      </w:pPr>
      <w:r>
        <w:t xml:space="preserve">Update the Response.</w:t>
      </w:r>
    </w:p>
    <w:p>
      <w:pPr>
        <w:numPr>
          <w:ilvl w:val="0"/>
          <w:numId w:val="1019"/>
        </w:numPr>
      </w:pPr>
      <w:r>
        <w:t xml:space="preserve">If there is a delay update the IDR Response Delay.</w:t>
      </w:r>
    </w:p>
    <w:p>
      <w:pPr>
        <w:numPr>
          <w:ilvl w:val="0"/>
          <w:numId w:val="1019"/>
        </w:numPr>
      </w:pPr>
      <w:r>
        <w:t xml:space="preserve">Click Submit for Review.</w:t>
      </w:r>
    </w:p>
    <w:p>
      <w:pPr>
        <w:numPr>
          <w:ilvl w:val="0"/>
          <w:numId w:val="1019"/>
        </w:numPr>
      </w:pPr>
      <w:r>
        <w:t xml:space="preserve">The complaint status is open.</w:t>
      </w:r>
    </w:p>
    <w:bookmarkEnd w:id="75"/>
    <w:bookmarkStart w:id="76" w:name="ReviewtheComplaint"/>
    <w:p>
      <w:pPr>
        <w:pStyle w:val="Heading3"/>
      </w:pPr>
      <w:r>
        <w:t xml:space="preserve">Review the Complaint</w:t>
      </w:r>
    </w:p>
    <w:p>
      <w:pPr>
        <w:pStyle w:val="FirstParagraph"/>
      </w:pPr>
      <w:r>
        <w:t xml:space="preserve">User: Complaint Owner</w:t>
      </w:r>
    </w:p>
    <w:p>
      <w:pPr>
        <w:numPr>
          <w:ilvl w:val="0"/>
          <w:numId w:val="1021"/>
        </w:numPr>
      </w:pPr>
      <w:r>
        <w:t xml:space="preserve">Review the complaint details post review.</w:t>
      </w:r>
    </w:p>
    <w:p>
      <w:pPr>
        <w:numPr>
          <w:ilvl w:val="0"/>
          <w:numId w:val="1021"/>
        </w:numPr>
      </w:pPr>
      <w:r>
        <w:t xml:space="preserve">Select the next Action after review</w:t>
      </w:r>
    </w:p>
    <w:p>
      <w:pPr>
        <w:numPr>
          <w:ilvl w:val="1"/>
          <w:numId w:val="1022"/>
        </w:numPr>
      </w:pPr>
      <w:r>
        <w:t xml:space="preserve">Investigate</w:t>
      </w:r>
    </w:p>
    <w:p>
      <w:pPr>
        <w:numPr>
          <w:ilvl w:val="1"/>
          <w:numId w:val="1022"/>
        </w:numPr>
      </w:pPr>
      <w:r>
        <w:t xml:space="preserve">Escalate</w:t>
      </w:r>
    </w:p>
    <w:p>
      <w:pPr>
        <w:numPr>
          <w:ilvl w:val="1"/>
          <w:numId w:val="1022"/>
        </w:numPr>
      </w:pPr>
      <w:r>
        <w:t xml:space="preserve">Close</w:t>
      </w:r>
    </w:p>
    <w:p>
      <w:pPr>
        <w:numPr>
          <w:ilvl w:val="1"/>
          <w:numId w:val="1022"/>
        </w:numPr>
      </w:pPr>
      <w:r>
        <w:t xml:space="preserve">Cancel</w:t>
      </w:r>
    </w:p>
    <w:bookmarkEnd w:id="76"/>
    <w:bookmarkStart w:id="77" w:name="InvestigateClosetheComplaint"/>
    <w:p>
      <w:pPr>
        <w:pStyle w:val="Heading3"/>
      </w:pPr>
      <w:r>
        <w:t xml:space="preserve">Investigate/Close the Complaint</w:t>
      </w:r>
    </w:p>
    <w:p>
      <w:pPr>
        <w:pStyle w:val="FirstParagraph"/>
      </w:pPr>
      <w:r>
        <w:t xml:space="preserve">User: Compliance Manager</w:t>
      </w:r>
    </w:p>
    <w:p>
      <w:pPr>
        <w:numPr>
          <w:ilvl w:val="0"/>
          <w:numId w:val="1023"/>
        </w:numPr>
      </w:pPr>
      <w:r>
        <w:t xml:space="preserve">Review the complaint.</w:t>
      </w:r>
    </w:p>
    <w:p>
      <w:pPr>
        <w:numPr>
          <w:ilvl w:val="1"/>
          <w:numId w:val="1024"/>
        </w:numPr>
      </w:pPr>
      <w:r>
        <w:t xml:space="preserve">Under Investigation:</w:t>
      </w:r>
    </w:p>
    <w:p>
      <w:pPr>
        <w:numPr>
          <w:ilvl w:val="2"/>
          <w:numId w:val="1025"/>
        </w:numPr>
      </w:pPr>
      <w:r>
        <w:t xml:space="preserve">Update the investigation details.</w:t>
      </w:r>
    </w:p>
    <w:p>
      <w:pPr>
        <w:numPr>
          <w:ilvl w:val="2"/>
          <w:numId w:val="1025"/>
        </w:numPr>
      </w:pPr>
      <w:r>
        <w:t xml:space="preserve">Add Finding record based on the investigation.</w:t>
      </w:r>
    </w:p>
    <w:p>
      <w:pPr>
        <w:numPr>
          <w:ilvl w:val="2"/>
          <w:numId w:val="1025"/>
        </w:numPr>
      </w:pPr>
      <w:r>
        <w:t xml:space="preserve">Link the Regulatory Correspondence record (if necessary).</w:t>
      </w:r>
    </w:p>
    <w:p>
      <w:pPr>
        <w:numPr>
          <w:ilvl w:val="1"/>
          <w:numId w:val="1024"/>
        </w:numPr>
      </w:pPr>
      <w:r>
        <w:t xml:space="preserve">Under Escalation</w:t>
      </w:r>
    </w:p>
    <w:p>
      <w:pPr>
        <w:numPr>
          <w:ilvl w:val="2"/>
          <w:numId w:val="1026"/>
        </w:numPr>
      </w:pPr>
      <w:r>
        <w:t xml:space="preserve">Update the IDR Escalation Details.</w:t>
      </w:r>
    </w:p>
    <w:p>
      <w:pPr>
        <w:numPr>
          <w:ilvl w:val="2"/>
          <w:numId w:val="1026"/>
        </w:numPr>
      </w:pPr>
      <w:r>
        <w:t xml:space="preserve">Update the investigation details.</w:t>
      </w:r>
    </w:p>
    <w:p>
      <w:pPr>
        <w:numPr>
          <w:ilvl w:val="2"/>
          <w:numId w:val="1026"/>
        </w:numPr>
      </w:pPr>
      <w:r>
        <w:t xml:space="preserve">Add Finding record based on the investigation.</w:t>
      </w:r>
    </w:p>
    <w:p>
      <w:pPr>
        <w:numPr>
          <w:ilvl w:val="2"/>
          <w:numId w:val="1026"/>
        </w:numPr>
      </w:pPr>
      <w:r>
        <w:t xml:space="preserve">Link the Regulatory Correspondence record (if necessary).</w:t>
      </w:r>
    </w:p>
    <w:p>
      <w:pPr>
        <w:numPr>
          <w:ilvl w:val="0"/>
          <w:numId w:val="1023"/>
        </w:numPr>
      </w:pPr>
      <w:r>
        <w:t xml:space="preserve">Close the complaint</w:t>
      </w:r>
    </w:p>
    <w:bookmarkEnd w:id="77"/>
    <w:bookmarkEnd w:id="78"/>
    <w:bookmarkStart w:id="79" w:name="Certificationenvironment"/>
    <w:p>
      <w:pPr>
        <w:pStyle w:val="Heading2"/>
      </w:pPr>
      <w:r>
        <w:t xml:space="preserve">Certification environment</w:t>
      </w:r>
    </w:p>
    <w:p>
      <w:pPr>
        <w:pStyle w:val="FirstParagraph"/>
      </w:pPr>
      <w:r>
        <w:t xml:space="preserve">Date Tested: June 2024</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2024.06</w:t>
            </w:r>
          </w:p>
        </w:tc>
        <w:tc>
          <w:tcPr/>
          <w:p>
            <w:pPr>
              <w:pStyle w:val="BodyText"/>
            </w:pPr>
            <w:r>
              <w:t xml:space="preserve">Virtual Appliance</w:t>
            </w:r>
          </w:p>
        </w:tc>
      </w:tr>
    </w:tbl>
    <w:bookmarkEnd w:id="79"/>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jpg" /><Relationship Type="http://schemas.openxmlformats.org/officeDocument/2006/relationships/image" Id="rId66" Target="media/rId66.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hyperlink" Id="rId20" Target="https://asic.gov.au/regulatory-resources/find-a-document/regulatory-guides/rg-271-internal-dispute-resolution/" TargetMode="External" /><Relationship Type="http://schemas.openxmlformats.org/officeDocument/2006/relationships/hyperlink" Id="rId40" Target="https://help.archerirm.cloud/archer_suite_help/Default.htm" TargetMode="External" /><Relationship Type="http://schemas.openxmlformats.org/officeDocument/2006/relationships/hyperlink" Id="rId23" Target="https://help.archerirm.cloud/archer_suite_help/en-us/Content/PortalHome/SolutionsHome/sol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asic.gov.au/regulatory-resources/find-a-document/regulatory-guides/rg-271-internal-dispute-resolution/" TargetMode="External" /><Relationship Type="http://schemas.openxmlformats.org/officeDocument/2006/relationships/hyperlink" Id="rId40" Target="https://help.archerirm.cloud/archer_suite_help/Default.htm" TargetMode="External" /><Relationship Type="http://schemas.openxmlformats.org/officeDocument/2006/relationships/hyperlink" Id="rId23" Target="https://help.archerirm.cloud/archer_suite_help/en-us/Content/PortalHome/SolutionsHome/sol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2025-03-24T15:43:23Z</dcterms:created>
  <dcterms:modified xsi:type="dcterms:W3CDTF">2025-03-24T15:43:23Z</dcterms:modified>
</cp:coreProperties>
</file>

<file path=docProps/custom.xml><?xml version="1.0" encoding="utf-8"?>
<Properties xmlns="http://schemas.openxmlformats.org/officeDocument/2006/custom-properties" xmlns:vt="http://schemas.openxmlformats.org/officeDocument/2006/docPropsVTypes"/>
</file>