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7.png" ContentType="image/png"/>
  <Override PartName="/word/media/rId68.png" ContentType="image/png"/>
  <Override PartName="/word/media/rId76.png" ContentType="image/png"/>
  <Override PartName="/word/media/rId79.png" ContentType="image/png"/>
  <Override PartName="/word/media/rId33.png" ContentType="image/png"/>
  <Override PartName="/word/media/rId40.png" ContentType="image/png"/>
  <Override PartName="/word/media/rId73.png" ContentType="image/png"/>
  <Override PartName="/word/media/rId44.png" ContentType="image/png"/>
  <Override PartName="/word/media/rId59.png" ContentType="image/png"/>
  <Override PartName="/word/media/rId1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3" w:name="mc-main-content"/>
    <w:bookmarkStart w:id="122" w:name="karta-nerc-cip-accelerator-1"/>
    <w:p>
      <w:pPr>
        <w:pStyle w:val="Heading1"/>
      </w:pPr>
      <w:r>
        <w:t xml:space="preserve">Karta NERC CIP Accelerator</w:t>
      </w:r>
    </w:p>
    <w:p>
      <w:pPr>
        <w:pStyle w:val="FirstParagraph"/>
      </w:pPr>
      <w:r>
        <w:t xml:space="preserve">The North American Electric Reliability Corporation (NERC) registered entities are responsible to deliver electricity to nearly 400 million people in its purview. NERC standards include a subset of Critical Infrastructure Protection (CIP) measures. The Karta NERC CIP Accelerator empowers utilities to create NERC evidence from core Archer asset inventories (Devices, Third Party Profiles etc.); intake, review, and assess system changes for continued NERC compliance via Archer Questionnaire; and assess supplier risk against industry criteria in a new Archer questionnaire. This offering can complement the</w:t>
      </w:r>
      <w:r>
        <w:t xml:space="preserve"> </w:t>
      </w:r>
      <w:hyperlink r:id="rId20">
        <w:r>
          <w:rPr>
            <w:rStyle w:val="Hyperlink"/>
          </w:rPr>
          <w:t xml:space="preserve">Karta NERC Management app-pack</w:t>
        </w:r>
      </w:hyperlink>
      <w:r>
        <w:t xml:space="preserve"> </w:t>
      </w:r>
      <w:r>
        <w:t xml:space="preserve">or can be used as standalone functions as well.These acceleratorsand questionnaires are designed to create a utility-friendly overlay with core Archer use cases such as Archer Enterprise Management and Archer Third Party Risk Management.</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ofKartaNERCCIPAccelerator">
        <w:r>
          <w:rPr>
            <w:rStyle w:val="Hyperlink"/>
          </w:rPr>
          <w:t xml:space="preserve">Overview of Karta NERC CIP Accelerator</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quiredApplications">
        <w:r>
          <w:rPr>
            <w:rStyle w:val="Hyperlink"/>
          </w:rPr>
          <w:t xml:space="preserve">Required Applications</w:t>
        </w:r>
      </w:hyperlink>
    </w:p>
    <w:p>
      <w:pPr>
        <w:pStyle w:val="Compact"/>
        <w:numPr>
          <w:ilvl w:val="1"/>
          <w:numId w:val="1002"/>
        </w:numPr>
      </w:pPr>
      <w:hyperlink w:anchor="AdditionalResources">
        <w:r>
          <w:rPr>
            <w:rStyle w:val="Hyperlink"/>
          </w:rPr>
          <w:t xml:space="preserve">Additional Resources</w:t>
        </w:r>
      </w:hyperlink>
    </w:p>
    <w:p>
      <w:pPr>
        <w:pStyle w:val="Compact"/>
        <w:numPr>
          <w:ilvl w:val="0"/>
          <w:numId w:val="1001"/>
        </w:numPr>
      </w:pPr>
      <w:hyperlink w:anchor="Offeringcomponents">
        <w:r>
          <w:rPr>
            <w:rStyle w:val="Hyperlink"/>
          </w:rPr>
          <w:t xml:space="preserve">Offering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Processdiagrams">
        <w:r>
          <w:rPr>
            <w:rStyle w:val="Hyperlink"/>
          </w:rPr>
          <w:t xml:space="preserve">Process diagrams</w:t>
        </w:r>
      </w:hyperlink>
    </w:p>
    <w:p>
      <w:pPr>
        <w:pStyle w:val="Compact"/>
        <w:numPr>
          <w:ilvl w:val="2"/>
          <w:numId w:val="1005"/>
        </w:numPr>
      </w:pPr>
      <w:hyperlink w:anchor="NERCChangeManagement">
        <w:r>
          <w:rPr>
            <w:rStyle w:val="Hyperlink"/>
          </w:rPr>
          <w:t xml:space="preserve">NERC Change Management</w:t>
        </w:r>
      </w:hyperlink>
    </w:p>
    <w:p>
      <w:pPr>
        <w:pStyle w:val="Compact"/>
        <w:numPr>
          <w:ilvl w:val="2"/>
          <w:numId w:val="1005"/>
        </w:numPr>
      </w:pPr>
      <w:hyperlink w:anchor="X5753088b7bca1ba4c98ff9b3c22cb6c875eda1b">
        <w:r>
          <w:rPr>
            <w:rStyle w:val="Hyperlink"/>
          </w:rPr>
          <w:t xml:space="preserve">NATF Energy Sector Supply Chain Risk Questionnaire</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1"/>
          <w:numId w:val="1004"/>
        </w:numPr>
      </w:pPr>
      <w:hyperlink w:anchor="PermissionChart">
        <w:r>
          <w:rPr>
            <w:rStyle w:val="Hyperlink"/>
          </w:rPr>
          <w:t xml:space="preserve">Permission Chart</w:t>
        </w:r>
      </w:hyperlink>
    </w:p>
    <w:p>
      <w:pPr>
        <w:pStyle w:val="Compact"/>
        <w:numPr>
          <w:ilvl w:val="0"/>
          <w:numId w:val="1001"/>
        </w:numPr>
      </w:pPr>
      <w:hyperlink w:anchor="Installingtheoffering">
        <w:r>
          <w:rPr>
            <w:rStyle w:val="Hyperlink"/>
          </w:rPr>
          <w:t xml:space="preserve">Installing the offering</w:t>
        </w:r>
      </w:hyperlink>
    </w:p>
    <w:p>
      <w:pPr>
        <w:pStyle w:val="Compact"/>
        <w:numPr>
          <w:ilvl w:val="1"/>
          <w:numId w:val="1006"/>
        </w:numPr>
      </w:pPr>
      <w:hyperlink w:anchor="Securityconsiderations">
        <w:r>
          <w:rPr>
            <w:rStyle w:val="Hyperlink"/>
          </w:rPr>
          <w:t xml:space="preserve">Security considerations</w:t>
        </w:r>
      </w:hyperlink>
    </w:p>
    <w:p>
      <w:pPr>
        <w:pStyle w:val="Compact"/>
        <w:numPr>
          <w:ilvl w:val="1"/>
          <w:numId w:val="1006"/>
        </w:numPr>
      </w:pPr>
      <w:hyperlink w:anchor="Installationoverview">
        <w:r>
          <w:rPr>
            <w:rStyle w:val="Hyperlink"/>
          </w:rPr>
          <w:t xml:space="preserve">Installation overview</w:t>
        </w:r>
      </w:hyperlink>
    </w:p>
    <w:p>
      <w:pPr>
        <w:pStyle w:val="Compact"/>
        <w:numPr>
          <w:ilvl w:val="2"/>
          <w:numId w:val="1007"/>
        </w:numPr>
      </w:pPr>
      <w:hyperlink w:anchor="Step1Preparefortheinstallation">
        <w:r>
          <w:rPr>
            <w:rStyle w:val="Hyperlink"/>
          </w:rPr>
          <w:t xml:space="preserve">Step 1: Prepare for the installation</w:t>
        </w:r>
      </w:hyperlink>
    </w:p>
    <w:p>
      <w:pPr>
        <w:pStyle w:val="Compact"/>
        <w:numPr>
          <w:ilvl w:val="2"/>
          <w:numId w:val="1007"/>
        </w:numPr>
      </w:pPr>
      <w:hyperlink w:anchor="Step2Installthepackage">
        <w:r>
          <w:rPr>
            <w:rStyle w:val="Hyperlink"/>
          </w:rPr>
          <w:t xml:space="preserve">Step 2: Install the package</w:t>
        </w:r>
      </w:hyperlink>
    </w:p>
    <w:p>
      <w:pPr>
        <w:pStyle w:val="Compact"/>
        <w:numPr>
          <w:ilvl w:val="1"/>
          <w:numId w:val="1006"/>
        </w:numPr>
      </w:pPr>
      <w:hyperlink w:anchor="Installingthepackage">
        <w:r>
          <w:rPr>
            <w:rStyle w:val="Hyperlink"/>
          </w:rPr>
          <w:t xml:space="preserve">Installing the package</w:t>
        </w:r>
      </w:hyperlink>
    </w:p>
    <w:p>
      <w:pPr>
        <w:pStyle w:val="Compact"/>
        <w:numPr>
          <w:ilvl w:val="2"/>
          <w:numId w:val="1008"/>
        </w:numPr>
      </w:pPr>
      <w:hyperlink w:anchor="Task1Backupyourdatabase">
        <w:r>
          <w:rPr>
            <w:rStyle w:val="Hyperlink"/>
          </w:rPr>
          <w:t xml:space="preserve">Task 1: Back up your database</w:t>
        </w:r>
      </w:hyperlink>
    </w:p>
    <w:p>
      <w:pPr>
        <w:pStyle w:val="Compact"/>
        <w:numPr>
          <w:ilvl w:val="2"/>
          <w:numId w:val="1008"/>
        </w:numPr>
      </w:pPr>
      <w:hyperlink w:anchor="Task2Importthepackage">
        <w:r>
          <w:rPr>
            <w:rStyle w:val="Hyperlink"/>
          </w:rPr>
          <w:t xml:space="preserve">Task 2: Import the package</w:t>
        </w:r>
      </w:hyperlink>
    </w:p>
    <w:p>
      <w:pPr>
        <w:pStyle w:val="Compact"/>
        <w:numPr>
          <w:ilvl w:val="2"/>
          <w:numId w:val="1008"/>
        </w:numPr>
      </w:pPr>
      <w:hyperlink w:anchor="Task3Mapobjectsinthepackage">
        <w:r>
          <w:rPr>
            <w:rStyle w:val="Hyperlink"/>
          </w:rPr>
          <w:t xml:space="preserve">Task 3: Map objects in the package</w:t>
        </w:r>
      </w:hyperlink>
    </w:p>
    <w:p>
      <w:pPr>
        <w:pStyle w:val="Compact"/>
        <w:numPr>
          <w:ilvl w:val="2"/>
          <w:numId w:val="1008"/>
        </w:numPr>
      </w:pPr>
      <w:hyperlink w:anchor="Task4Installthepackage">
        <w:r>
          <w:rPr>
            <w:rStyle w:val="Hyperlink"/>
          </w:rPr>
          <w:t xml:space="preserve">Task 4: Install the package</w:t>
        </w:r>
      </w:hyperlink>
    </w:p>
    <w:p>
      <w:pPr>
        <w:pStyle w:val="Compact"/>
        <w:numPr>
          <w:ilvl w:val="2"/>
          <w:numId w:val="1008"/>
        </w:numPr>
      </w:pPr>
      <w:hyperlink w:anchor="Task5Reviewthepackageinstallationlog">
        <w:r>
          <w:rPr>
            <w:rStyle w:val="Hyperlink"/>
          </w:rPr>
          <w:t xml:space="preserve">Task 5: Review the package installation log</w:t>
        </w:r>
      </w:hyperlink>
    </w:p>
    <w:p>
      <w:pPr>
        <w:pStyle w:val="Compact"/>
        <w:numPr>
          <w:ilvl w:val="0"/>
          <w:numId w:val="1001"/>
        </w:numPr>
      </w:pPr>
      <w:hyperlink w:anchor="Configuringtheoffering">
        <w:r>
          <w:rPr>
            <w:rStyle w:val="Hyperlink"/>
          </w:rPr>
          <w:t xml:space="preserve">Configuring the offering</w:t>
        </w:r>
      </w:hyperlink>
    </w:p>
    <w:p>
      <w:pPr>
        <w:pStyle w:val="Compact"/>
        <w:numPr>
          <w:ilvl w:val="1"/>
          <w:numId w:val="1009"/>
        </w:numPr>
      </w:pPr>
      <w:hyperlink w:anchor="Step1OrganizeandsetupNERCGroups">
        <w:r>
          <w:rPr>
            <w:rStyle w:val="Hyperlink"/>
          </w:rPr>
          <w:t xml:space="preserve">Step 1: Organize and set up NERC Groups</w:t>
        </w:r>
      </w:hyperlink>
    </w:p>
    <w:p>
      <w:pPr>
        <w:pStyle w:val="Compact"/>
        <w:numPr>
          <w:ilvl w:val="2"/>
          <w:numId w:val="1010"/>
        </w:numPr>
      </w:pPr>
      <w:hyperlink w:anchor="Xb26b9ac4938bc781d1683397e7145c9996868d6">
        <w:r>
          <w:rPr>
            <w:rStyle w:val="Hyperlink"/>
          </w:rPr>
          <w:t xml:space="preserve">Task 1: Nest NERC Compliance Groups Under Parent Group (Optional)</w:t>
        </w:r>
      </w:hyperlink>
    </w:p>
    <w:p>
      <w:pPr>
        <w:pStyle w:val="Compact"/>
        <w:numPr>
          <w:ilvl w:val="2"/>
          <w:numId w:val="1010"/>
        </w:numPr>
      </w:pPr>
      <w:hyperlink w:anchor="Task2PopulateNERCGroupswithRelevantStaff">
        <w:r>
          <w:rPr>
            <w:rStyle w:val="Hyperlink"/>
          </w:rPr>
          <w:t xml:space="preserve">Task 2: Populate NERC Groups with Relevant Staff</w:t>
        </w:r>
      </w:hyperlink>
    </w:p>
    <w:p>
      <w:pPr>
        <w:pStyle w:val="Compact"/>
        <w:numPr>
          <w:ilvl w:val="1"/>
          <w:numId w:val="1009"/>
        </w:numPr>
      </w:pPr>
      <w:hyperlink w:anchor="Step2Activateadvancedworkflows">
        <w:r>
          <w:rPr>
            <w:rStyle w:val="Hyperlink"/>
          </w:rPr>
          <w:t xml:space="preserve">Step 2: Activate advanced workflows</w:t>
        </w:r>
      </w:hyperlink>
    </w:p>
    <w:p>
      <w:pPr>
        <w:pStyle w:val="Compact"/>
        <w:numPr>
          <w:ilvl w:val="1"/>
          <w:numId w:val="1009"/>
        </w:numPr>
      </w:pPr>
      <w:hyperlink w:anchor="Step3Personalizetheworkspacedisplay">
        <w:r>
          <w:rPr>
            <w:rStyle w:val="Hyperlink"/>
          </w:rPr>
          <w:t xml:space="preserve">Step 3: Personalize the workspace display</w:t>
        </w:r>
      </w:hyperlink>
    </w:p>
    <w:p>
      <w:pPr>
        <w:pStyle w:val="Compact"/>
        <w:numPr>
          <w:ilvl w:val="1"/>
          <w:numId w:val="1009"/>
        </w:numPr>
      </w:pPr>
      <w:hyperlink w:anchor="Step4ConfigureRecordPermissions">
        <w:r>
          <w:rPr>
            <w:rStyle w:val="Hyperlink"/>
          </w:rPr>
          <w:t xml:space="preserve">Step 4: Configure Record Permissions</w:t>
        </w:r>
      </w:hyperlink>
    </w:p>
    <w:p>
      <w:pPr>
        <w:pStyle w:val="Compact"/>
        <w:numPr>
          <w:ilvl w:val="0"/>
          <w:numId w:val="1001"/>
        </w:numPr>
      </w:pPr>
      <w:hyperlink w:anchor="Usingtheoffering">
        <w:r>
          <w:rPr>
            <w:rStyle w:val="Hyperlink"/>
          </w:rPr>
          <w:t xml:space="preserve">Using the offering</w:t>
        </w:r>
      </w:hyperlink>
    </w:p>
    <w:p>
      <w:pPr>
        <w:pStyle w:val="Compact"/>
        <w:numPr>
          <w:ilvl w:val="1"/>
          <w:numId w:val="1011"/>
        </w:numPr>
      </w:pPr>
      <w:hyperlink w:anchor="DevicesApplication">
        <w:r>
          <w:rPr>
            <w:rStyle w:val="Hyperlink"/>
          </w:rPr>
          <w:t xml:space="preserve">Devices Application</w:t>
        </w:r>
      </w:hyperlink>
    </w:p>
    <w:p>
      <w:pPr>
        <w:pStyle w:val="Compact"/>
        <w:numPr>
          <w:ilvl w:val="1"/>
          <w:numId w:val="1011"/>
        </w:numPr>
      </w:pPr>
      <w:hyperlink w:anchor="NERCChangeManagementQuestionnaire">
        <w:r>
          <w:rPr>
            <w:rStyle w:val="Hyperlink"/>
          </w:rPr>
          <w:t xml:space="preserve">NERC Change Management Questionnaire</w:t>
        </w:r>
      </w:hyperlink>
    </w:p>
    <w:p>
      <w:pPr>
        <w:pStyle w:val="Compact"/>
        <w:numPr>
          <w:ilvl w:val="2"/>
          <w:numId w:val="1012"/>
        </w:numPr>
      </w:pPr>
      <w:hyperlink w:anchor="Task1CreateChangeManagementRequest">
        <w:r>
          <w:rPr>
            <w:rStyle w:val="Hyperlink"/>
          </w:rPr>
          <w:t xml:space="preserve">Task 1: Create Change Management Request</w:t>
        </w:r>
      </w:hyperlink>
    </w:p>
    <w:p>
      <w:pPr>
        <w:pStyle w:val="Compact"/>
        <w:numPr>
          <w:ilvl w:val="2"/>
          <w:numId w:val="1012"/>
        </w:numPr>
      </w:pPr>
      <w:hyperlink w:anchor="Xf511c273e6ecbba8855a279d9efeaf5be48849d">
        <w:r>
          <w:rPr>
            <w:rStyle w:val="Hyperlink"/>
          </w:rPr>
          <w:t xml:space="preserve">Task 2: Review &amp; Approve Change Management Request</w:t>
        </w:r>
      </w:hyperlink>
    </w:p>
    <w:p>
      <w:pPr>
        <w:pStyle w:val="Compact"/>
        <w:numPr>
          <w:ilvl w:val="2"/>
          <w:numId w:val="1012"/>
        </w:numPr>
      </w:pPr>
      <w:hyperlink w:anchor="Task3DocumentImplementationResults">
        <w:r>
          <w:rPr>
            <w:rStyle w:val="Hyperlink"/>
          </w:rPr>
          <w:t xml:space="preserve">Task 3: Document Implementation Results</w:t>
        </w:r>
      </w:hyperlink>
    </w:p>
    <w:p>
      <w:pPr>
        <w:pStyle w:val="Compact"/>
        <w:numPr>
          <w:ilvl w:val="2"/>
          <w:numId w:val="1012"/>
        </w:numPr>
      </w:pPr>
      <w:hyperlink w:anchor="Task4CompletingtheChangeRequest">
        <w:r>
          <w:rPr>
            <w:rStyle w:val="Hyperlink"/>
          </w:rPr>
          <w:t xml:space="preserve">Task 4: Completing the Change Request</w:t>
        </w:r>
      </w:hyperlink>
    </w:p>
    <w:p>
      <w:pPr>
        <w:pStyle w:val="Compact"/>
        <w:numPr>
          <w:ilvl w:val="1"/>
          <w:numId w:val="1011"/>
        </w:numPr>
      </w:pPr>
      <w:hyperlink w:anchor="Xe0e4d5fb9d3a02b624f63f7d6a73fe570334970">
        <w:r>
          <w:rPr>
            <w:rStyle w:val="Hyperlink"/>
          </w:rPr>
          <w:t xml:space="preserve">NATF Energy Sector Supply Chain Risk Questionnaire V5</w:t>
        </w:r>
      </w:hyperlink>
    </w:p>
    <w:p>
      <w:pPr>
        <w:pStyle w:val="Compact"/>
        <w:numPr>
          <w:ilvl w:val="2"/>
          <w:numId w:val="1013"/>
        </w:numPr>
      </w:pPr>
      <w:hyperlink w:anchor="Task1LaunchaNewQuestionnaireRecord">
        <w:r>
          <w:rPr>
            <w:rStyle w:val="Hyperlink"/>
          </w:rPr>
          <w:t xml:space="preserve">Task 1: Launch a New Questionnaire Record</w:t>
        </w:r>
      </w:hyperlink>
    </w:p>
    <w:p>
      <w:pPr>
        <w:pStyle w:val="Compact"/>
        <w:numPr>
          <w:ilvl w:val="2"/>
          <w:numId w:val="1013"/>
        </w:numPr>
      </w:pPr>
      <w:hyperlink w:anchor="Task2ObtainSupplierResponses">
        <w:r>
          <w:rPr>
            <w:rStyle w:val="Hyperlink"/>
          </w:rPr>
          <w:t xml:space="preserve">Task 2: Obtain Supplier Responses</w:t>
        </w:r>
      </w:hyperlink>
    </w:p>
    <w:p>
      <w:pPr>
        <w:pStyle w:val="Compact"/>
        <w:numPr>
          <w:ilvl w:val="2"/>
          <w:numId w:val="1013"/>
        </w:numPr>
      </w:pPr>
      <w:hyperlink w:anchor="Task3ObtainSupplierResponses">
        <w:r>
          <w:rPr>
            <w:rStyle w:val="Hyperlink"/>
          </w:rPr>
          <w:t xml:space="preserve">Task 3: Obtain Supplier Responses</w:t>
        </w:r>
      </w:hyperlink>
    </w:p>
    <w:p>
      <w:pPr>
        <w:pStyle w:val="Compact"/>
        <w:numPr>
          <w:ilvl w:val="2"/>
          <w:numId w:val="1013"/>
        </w:numPr>
      </w:pPr>
      <w:hyperlink w:anchor="Task4ApproveandClosetheQuestionnaire">
        <w:r>
          <w:rPr>
            <w:rStyle w:val="Hyperlink"/>
          </w:rPr>
          <w:t xml:space="preserve">Task 4: Approve and Close the Questionnaire</w:t>
        </w:r>
      </w:hyperlink>
    </w:p>
    <w:p>
      <w:pPr>
        <w:pStyle w:val="Compact"/>
        <w:numPr>
          <w:ilvl w:val="0"/>
          <w:numId w:val="1001"/>
        </w:numPr>
      </w:pPr>
      <w:hyperlink w:anchor="Certificationenvironment">
        <w:r>
          <w:rPr>
            <w:rStyle w:val="Hyperlink"/>
          </w:rPr>
          <w:t xml:space="preserve">Certification environment</w:t>
        </w:r>
      </w:hyperlink>
    </w:p>
    <w:bookmarkStart w:id="21" w:name="Releasehistory"/>
    <w:p>
      <w:pPr>
        <w:pStyle w:val="Heading2"/>
      </w:pPr>
      <w:r>
        <w:t xml:space="preserve">Release history</w:t>
      </w:r>
    </w:p>
    <w:p>
      <w:pPr>
        <w:pStyle w:val="FirstParagraph"/>
      </w:pPr>
      <w:r>
        <w:t xml:space="preserve">Last updated: November 2024</w:t>
      </w:r>
    </w:p>
    <w:bookmarkEnd w:id="21"/>
    <w:bookmarkStart w:id="32" w:name="OverviewofKartaNERCCIPAccelerator"/>
    <w:p>
      <w:pPr>
        <w:pStyle w:val="Heading2"/>
      </w:pPr>
      <w:r>
        <w:t xml:space="preserve">Overview of Karta NERC CIP Accelerator</w:t>
      </w:r>
    </w:p>
    <w:bookmarkStart w:id="22" w:name="Keyfeaturesandbenefits"/>
    <w:p>
      <w:pPr>
        <w:pStyle w:val="Heading3"/>
      </w:pPr>
      <w:r>
        <w:t xml:space="preserve">Key features and benefits</w:t>
      </w:r>
    </w:p>
    <w:p>
      <w:pPr>
        <w:numPr>
          <w:ilvl w:val="0"/>
          <w:numId w:val="1014"/>
        </w:numPr>
      </w:pPr>
      <w:r>
        <w:t xml:space="preserve">Generate relevant evidence for asset inventory, ensuring proper formatting and terminology for NERC compliance</w:t>
      </w:r>
    </w:p>
    <w:p>
      <w:pPr>
        <w:numPr>
          <w:ilvl w:val="0"/>
          <w:numId w:val="1014"/>
        </w:numPr>
      </w:pPr>
      <w:r>
        <w:t xml:space="preserve">Improve the change management process by implementing NERC-compliant questionnaires and workflows</w:t>
      </w:r>
    </w:p>
    <w:p>
      <w:pPr>
        <w:numPr>
          <w:ilvl w:val="0"/>
          <w:numId w:val="1014"/>
        </w:numPr>
      </w:pPr>
      <w:r>
        <w:t xml:space="preserve">Strengthen supplier risk assessments through the use of NERC-compliant questionnaires and evaluation criteria</w:t>
      </w:r>
    </w:p>
    <w:bookmarkEnd w:id="22"/>
    <w:bookmarkStart w:id="23"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numPr>
                <w:ilvl w:val="0"/>
                <w:numId w:val="1015"/>
              </w:numPr>
            </w:pPr>
            <w:r>
              <w:t xml:space="preserve">Enterprise &amp; Operational Risk Management</w:t>
            </w:r>
          </w:p>
          <w:p>
            <w:pPr>
              <w:numPr>
                <w:ilvl w:val="0"/>
                <w:numId w:val="1015"/>
              </w:numPr>
            </w:pPr>
            <w:r>
              <w:t xml:space="preserve">Third Party Governance</w:t>
            </w:r>
          </w:p>
        </w:tc>
      </w:tr>
      <w:tr>
        <w:tc>
          <w:tcPr/>
          <w:p>
            <w:pPr>
              <w:pStyle w:val="FirstParagraph"/>
            </w:pPr>
            <w:r>
              <w:t xml:space="preserve">Archer Use Case(s)</w:t>
            </w:r>
          </w:p>
        </w:tc>
        <w:tc>
          <w:tcPr/>
          <w:p>
            <w:pPr>
              <w:numPr>
                <w:ilvl w:val="0"/>
                <w:numId w:val="1016"/>
              </w:numPr>
            </w:pPr>
            <w:r>
              <w:t xml:space="preserve">Archer IT Asset Catalog</w:t>
            </w:r>
          </w:p>
          <w:p>
            <w:pPr>
              <w:numPr>
                <w:ilvl w:val="0"/>
                <w:numId w:val="1016"/>
              </w:numPr>
            </w:pPr>
            <w:r>
              <w:t xml:space="preserve">Archer Third Party Catalog</w:t>
            </w:r>
          </w:p>
        </w:tc>
      </w:tr>
      <w:tr>
        <w:tc>
          <w:tcPr/>
          <w:p>
            <w:pPr>
              <w:pStyle w:val="FirstParagraph"/>
            </w:pPr>
            <w:r>
              <w:t xml:space="preserve">Archer Applications</w:t>
            </w:r>
          </w:p>
        </w:tc>
        <w:tc>
          <w:tcPr/>
          <w:p>
            <w:pPr>
              <w:numPr>
                <w:ilvl w:val="0"/>
                <w:numId w:val="1017"/>
              </w:numPr>
            </w:pPr>
            <w:r>
              <w:t xml:space="preserve">Devices</w:t>
            </w:r>
          </w:p>
          <w:p>
            <w:pPr>
              <w:numPr>
                <w:ilvl w:val="0"/>
                <w:numId w:val="1017"/>
              </w:numPr>
            </w:pPr>
            <w:r>
              <w:t xml:space="preserve">Third Party Profile</w:t>
            </w:r>
          </w:p>
        </w:tc>
      </w:tr>
      <w:tr>
        <w:tc>
          <w:tcPr/>
          <w:p>
            <w:pPr>
              <w:pStyle w:val="FirstParagraph"/>
            </w:pPr>
            <w:r>
              <w:t xml:space="preserve">Uses Custom Objects</w:t>
            </w:r>
          </w:p>
        </w:tc>
        <w:tc>
          <w:tcPr/>
          <w:p>
            <w:pPr>
              <w:pStyle w:val="BodyText"/>
            </w:pPr>
            <w:r>
              <w:t xml:space="preserve">No</w:t>
            </w:r>
          </w:p>
        </w:tc>
      </w:tr>
      <w:tr>
        <w:tc>
          <w:tcPr/>
          <w:p>
            <w:pPr>
              <w:pStyle w:val="BodyText"/>
            </w:pPr>
            <w:r>
              <w:t xml:space="preserve">Requires Archer On-Demand License</w:t>
            </w:r>
          </w:p>
        </w:tc>
        <w:tc>
          <w:tcPr/>
          <w:p>
            <w:pPr>
              <w:numPr>
                <w:ilvl w:val="0"/>
                <w:numId w:val="1018"/>
              </w:numPr>
            </w:pPr>
            <w:r>
              <w:t xml:space="preserve">Zero (0) Archer On-Demand Application (ODA) licenses are required for this offering</w:t>
            </w:r>
          </w:p>
          <w:p>
            <w:pPr>
              <w:numPr>
                <w:ilvl w:val="0"/>
                <w:numId w:val="1018"/>
              </w:numPr>
            </w:pPr>
            <w:r>
              <w:t xml:space="preserve">Two (2) questionnaires are required for this offering</w:t>
            </w:r>
          </w:p>
        </w:tc>
      </w:tr>
      <w:tr>
        <w:tc>
          <w:tcPr/>
          <w:p>
            <w:pPr>
              <w:pStyle w:val="FirstParagraph"/>
            </w:pPr>
            <w:r>
              <w:t xml:space="preserve">Archer Requirements</w:t>
            </w:r>
          </w:p>
        </w:tc>
        <w:tc>
          <w:tcPr/>
          <w:p>
            <w:pPr>
              <w:pStyle w:val="BodyText"/>
            </w:pPr>
            <w:r>
              <w:t xml:space="preserve">Archer Platform Release 2024.09(6.15.302.10262)and later</w:t>
            </w:r>
          </w:p>
        </w:tc>
      </w:tr>
      <w:tr>
        <w:tc>
          <w:tcPr/>
          <w:p>
            <w:pPr>
              <w:pStyle w:val="BodyText"/>
            </w:pPr>
            <w:r>
              <w:t xml:space="preserve">Supported Archer Environments</w:t>
            </w:r>
          </w:p>
        </w:tc>
        <w:tc>
          <w:tcPr/>
          <w:p>
            <w:pPr>
              <w:pStyle w:val="BodyText"/>
            </w:pPr>
            <w:r>
              <w:t xml:space="preserve">The following Archer environments are supported:</w:t>
            </w:r>
          </w:p>
          <w:p>
            <w:pPr>
              <w:numPr>
                <w:ilvl w:val="0"/>
                <w:numId w:val="1019"/>
              </w:numPr>
            </w:pPr>
            <w:r>
              <w:t xml:space="preserve">On-Premises</w:t>
            </w:r>
          </w:p>
          <w:p>
            <w:pPr>
              <w:numPr>
                <w:ilvl w:val="0"/>
                <w:numId w:val="1019"/>
              </w:numPr>
            </w:pPr>
            <w:r>
              <w:t xml:space="preserve">Archer SaaS</w:t>
            </w:r>
          </w:p>
        </w:tc>
      </w:tr>
      <w:tr>
        <w:tc>
          <w:tcPr/>
          <w:p>
            <w:pPr>
              <w:pStyle w:val="FirstParagraph"/>
            </w:pPr>
            <w:r>
              <w:t xml:space="preserve">Partner/Vendor Requirements</w:t>
            </w:r>
          </w:p>
        </w:tc>
        <w:tc>
          <w:tcPr/>
          <w:p>
            <w:pPr>
              <w:pStyle w:val="BodyText"/>
            </w:pPr>
            <w:r>
              <w:t xml:space="preserve">Additional license fees may be required.  Contact sales@kartacorp.com for additional information.</w:t>
            </w:r>
          </w:p>
        </w:tc>
      </w:tr>
    </w:tbl>
    <w:bookmarkEnd w:id="23"/>
    <w:bookmarkStart w:id="25" w:name="CompatibleUseCasesandApplications"/>
    <w:p>
      <w:pPr>
        <w:pStyle w:val="Heading3"/>
      </w:pPr>
      <w:r>
        <w:t xml:space="preserve">Compatible Use Cases and Applications</w:t>
      </w:r>
    </w:p>
    <w:bookmarkStart w:id="24" w:name="RequiredApplications"/>
    <w:p>
      <w:pPr>
        <w:pStyle w:val="Heading4"/>
      </w:pPr>
      <w:r>
        <w:t xml:space="preserve">Required Applications</w:t>
      </w:r>
    </w:p>
    <w:p>
      <w:pPr>
        <w:pStyle w:val="FirstParagraph"/>
      </w:pPr>
      <w:r>
        <w:t xml:space="preserve">Devices application is required for NERC Change Management Questionnaire and Third Party Profile application is required for NATF Energy Sector Supply Chain Risk Questionnaire. Target Applications are required in the system to install the questionnaires respectively.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Devices</w:t>
            </w:r>
          </w:p>
        </w:tc>
        <w:tc>
          <w:tcPr/>
          <w:p>
            <w:pPr>
              <w:pStyle w:val="BodyText"/>
            </w:pPr>
            <w:r>
              <w:t xml:space="preserve">IT Asset Catalog</w:t>
            </w:r>
          </w:p>
        </w:tc>
        <w:tc>
          <w:tcPr/>
          <w:p>
            <w:pPr>
              <w:pStyle w:val="BodyText"/>
            </w:pPr>
            <w:r>
              <w:t xml:space="preserve">The Devices application serves as a central repository of knowledge about business-critical devices. NERC CIP-002 scoping and inventories can be connected and referenced to the Devices application. In addition, the NERC Change Management questionnaire can be linked to individual devices in your organization.</w:t>
            </w:r>
          </w:p>
        </w:tc>
      </w:tr>
      <w:tr>
        <w:tc>
          <w:tcPr/>
          <w:p>
            <w:pPr>
              <w:pStyle w:val="BodyText"/>
            </w:pPr>
            <w:r>
              <w:t xml:space="preserve">Third Party Profile</w:t>
            </w:r>
          </w:p>
        </w:tc>
        <w:tc>
          <w:tcPr/>
          <w:p>
            <w:pPr>
              <w:pStyle w:val="BodyText"/>
            </w:pPr>
            <w:r>
              <w:t xml:space="preserve">Third Party Governance</w:t>
            </w:r>
          </w:p>
        </w:tc>
        <w:tc>
          <w:tcPr/>
          <w:p>
            <w:pPr>
              <w:pStyle w:val="BodyText"/>
            </w:pPr>
            <w:r>
              <w:t xml:space="preserve">The Third Party Profile application stores the vendors/supplier organizations that support your operations in various ways. In addition, the NATF Questionnaire (CIP-013) questionnaire links directly to this repository to add NERC security insights.</w:t>
            </w:r>
          </w:p>
        </w:tc>
      </w:tr>
    </w:tbl>
    <w:bookmarkEnd w:id="24"/>
    <w:bookmarkEnd w:id="25"/>
    <w:bookmarkStart w:id="31" w:name="AdditionalResources"/>
    <w:p>
      <w:pPr>
        <w:pStyle w:val="Heading3"/>
      </w:pPr>
      <w:r>
        <w:t xml:space="preserve">Additional Resources</w:t>
      </w:r>
    </w:p>
    <w:p>
      <w:pPr>
        <w:pStyle w:val="FirstParagraph"/>
      </w:pPr>
      <w:r>
        <w:t xml:space="preserve">The following additional resources are available for this offering:</w:t>
      </w:r>
    </w:p>
    <w:p>
      <w:pPr>
        <w:numPr>
          <w:ilvl w:val="0"/>
          <w:numId w:val="1020"/>
        </w:numPr>
      </w:pPr>
      <w:r>
        <w:t xml:space="preserve">North American Electric Reliability Corporation (NERC):</w:t>
      </w:r>
      <w:r>
        <w:t xml:space="preserve"> </w:t>
      </w:r>
      <w:hyperlink r:id="rId26">
        <w:r>
          <w:rPr>
            <w:rStyle w:val="Hyperlink"/>
          </w:rPr>
          <w:t xml:space="preserve">https://www.nerc.com</w:t>
        </w:r>
      </w:hyperlink>
    </w:p>
    <w:p>
      <w:pPr>
        <w:numPr>
          <w:ilvl w:val="0"/>
          <w:numId w:val="1020"/>
        </w:numPr>
      </w:pPr>
      <w:r>
        <w:t xml:space="preserve">NERC Reliability Standards:</w:t>
      </w:r>
      <w:r>
        <w:t xml:space="preserve"> </w:t>
      </w:r>
      <w:hyperlink r:id="rId27">
        <w:r>
          <w:rPr>
            <w:rStyle w:val="Hyperlink"/>
          </w:rPr>
          <w:t xml:space="preserve">https://www.nerc.com/pa/Stand/Reliability%20Standards%20Complete%20Set/RSCompleteSet.pdf</w:t>
        </w:r>
      </w:hyperlink>
    </w:p>
    <w:p>
      <w:pPr>
        <w:numPr>
          <w:ilvl w:val="0"/>
          <w:numId w:val="1020"/>
        </w:numPr>
      </w:pPr>
      <w:r>
        <w:t xml:space="preserve">United States Federal Energy Regulatory Commission:</w:t>
      </w:r>
      <w:r>
        <w:t xml:space="preserve"> </w:t>
      </w:r>
      <w:hyperlink r:id="rId28">
        <w:r>
          <w:rPr>
            <w:rStyle w:val="Hyperlink"/>
          </w:rPr>
          <w:t xml:space="preserve">https://www.ferc.gov/</w:t>
        </w:r>
      </w:hyperlink>
    </w:p>
    <w:p>
      <w:pPr>
        <w:numPr>
          <w:ilvl w:val="0"/>
          <w:numId w:val="1020"/>
        </w:numPr>
      </w:pPr>
      <w:r>
        <w:t xml:space="preserve">North American Transmission Forum:</w:t>
      </w:r>
      <w:r>
        <w:t xml:space="preserve"> </w:t>
      </w:r>
      <w:hyperlink r:id="rId29">
        <w:r>
          <w:rPr>
            <w:rStyle w:val="Hyperlink"/>
          </w:rPr>
          <w:t xml:space="preserve">https://www.natf.net/industry-initiatives/supply-chain-industry-coordination</w:t>
        </w:r>
      </w:hyperlink>
    </w:p>
    <w:p>
      <w:pPr>
        <w:numPr>
          <w:ilvl w:val="0"/>
          <w:numId w:val="1020"/>
        </w:numPr>
      </w:pPr>
      <w:r>
        <w:t xml:space="preserve">Canada Energy Regulator:</w:t>
      </w:r>
      <w:r>
        <w:t xml:space="preserve"> </w:t>
      </w:r>
      <w:hyperlink r:id="rId30">
        <w:r>
          <w:rPr>
            <w:rStyle w:val="Hyperlink"/>
          </w:rPr>
          <w:t xml:space="preserve">https://www.cer-rec.gc.ca/en/</w:t>
        </w:r>
      </w:hyperlink>
    </w:p>
    <w:bookmarkEnd w:id="31"/>
    <w:bookmarkEnd w:id="32"/>
    <w:bookmarkStart w:id="52" w:name="Offeringcomponents"/>
    <w:p>
      <w:pPr>
        <w:pStyle w:val="Heading2"/>
      </w:pPr>
      <w:r>
        <w:t xml:space="preserve">Offering components</w:t>
      </w:r>
    </w:p>
    <w:bookmarkStart w:id="36" w:name="Architecturediagram"/>
    <w:p>
      <w:pPr>
        <w:pStyle w:val="Heading3"/>
      </w:pPr>
      <w:r>
        <w:t xml:space="preserve">Architecture diagram</w:t>
      </w:r>
    </w:p>
    <w:p>
      <w:pPr>
        <w:pStyle w:val="FirstParagraph"/>
      </w:pPr>
      <w:r>
        <w:t xml:space="preserve">The following diagram shows the relationships between the applications that make up the NERC CIP Accelerator solution and their complementary Archer components.</w:t>
      </w:r>
    </w:p>
    <w:p>
      <w:pPr>
        <w:pStyle w:val="BodyText"/>
      </w:pPr>
      <w:r>
        <w:drawing>
          <wp:inline>
            <wp:extent cx="4697260" cy="4091835"/>
            <wp:effectExtent b="0" l="0" r="0" t="0"/>
            <wp:docPr descr="" title="" id="34" name="Picture"/>
            <a:graphic>
              <a:graphicData uri="http://schemas.openxmlformats.org/drawingml/2006/picture">
                <pic:pic>
                  <pic:nvPicPr>
                    <pic:cNvPr descr="C:/Users/User/HelpArcher-to-pdf/HelpArcher-to-pdf-1/images/b5e8e4006366aa8a855d4ba453247e81.png" id="35" name="Picture"/>
                    <pic:cNvPicPr>
                      <a:picLocks noChangeArrowheads="1" noChangeAspect="1"/>
                    </pic:cNvPicPr>
                  </pic:nvPicPr>
                  <pic:blipFill>
                    <a:blip r:embed="rId33"/>
                    <a:stretch>
                      <a:fillRect/>
                    </a:stretch>
                  </pic:blipFill>
                  <pic:spPr bwMode="auto">
                    <a:xfrm>
                      <a:off x="0" y="0"/>
                      <a:ext cx="4697260" cy="4091835"/>
                    </a:xfrm>
                    <a:prstGeom prst="rect">
                      <a:avLst/>
                    </a:prstGeom>
                    <a:noFill/>
                    <a:ln w="9525">
                      <a:noFill/>
                      <a:headEnd/>
                      <a:tailEnd/>
                    </a:ln>
                  </pic:spPr>
                </pic:pic>
              </a:graphicData>
            </a:graphic>
          </wp:inline>
        </w:drawing>
      </w:r>
    </w:p>
    <w:bookmarkEnd w:id="36"/>
    <w:bookmarkStart w:id="48" w:name="Processdiagrams"/>
    <w:p>
      <w:pPr>
        <w:pStyle w:val="Heading3"/>
      </w:pPr>
      <w:r>
        <w:t xml:space="preserve">Process diagrams</w:t>
      </w:r>
    </w:p>
    <w:bookmarkStart w:id="43" w:name="NERCChangeManagement"/>
    <w:p>
      <w:pPr>
        <w:pStyle w:val="Heading4"/>
      </w:pPr>
      <w:r>
        <w:t xml:space="preserve">NERC Change Management</w:t>
      </w:r>
    </w:p>
    <w:p>
      <w:pPr>
        <w:pStyle w:val="FirstParagraph"/>
      </w:pPr>
      <w:r>
        <w:t xml:space="preserve">The following diagram shows the general workflow of the NERC Change Management Questionnaire.</w:t>
      </w:r>
    </w:p>
    <w:p>
      <w:pPr>
        <w:pStyle w:val="BodyText"/>
      </w:pPr>
      <w:r>
        <w:drawing>
          <wp:inline>
            <wp:extent cx="5334000" cy="3055476"/>
            <wp:effectExtent b="0" l="0" r="0" t="0"/>
            <wp:docPr descr="A diagram of a work flow Description automatically generated" title="" id="38" name="Picture"/>
            <a:graphic>
              <a:graphicData uri="http://schemas.openxmlformats.org/drawingml/2006/picture">
                <pic:pic>
                  <pic:nvPicPr>
                    <pic:cNvPr descr="C:/Users/User/HelpArcher-to-pdf/HelpArcher-to-pdf-1/images/77ae94e83ebb14cfc2d1cdeb41a77c80.png" id="39" name="Picture"/>
                    <pic:cNvPicPr>
                      <a:picLocks noChangeArrowheads="1" noChangeAspect="1"/>
                    </pic:cNvPicPr>
                  </pic:nvPicPr>
                  <pic:blipFill>
                    <a:blip r:embed="rId37"/>
                    <a:stretch>
                      <a:fillRect/>
                    </a:stretch>
                  </pic:blipFill>
                  <pic:spPr bwMode="auto">
                    <a:xfrm>
                      <a:off x="0" y="0"/>
                      <a:ext cx="5334000" cy="3055476"/>
                    </a:xfrm>
                    <a:prstGeom prst="rect">
                      <a:avLst/>
                    </a:prstGeom>
                    <a:noFill/>
                    <a:ln w="9525">
                      <a:noFill/>
                      <a:headEnd/>
                      <a:tailEnd/>
                    </a:ln>
                  </pic:spPr>
                </pic:pic>
              </a:graphicData>
            </a:graphic>
          </wp:inline>
        </w:drawing>
      </w:r>
    </w:p>
    <w:p>
      <w:pPr>
        <w:pStyle w:val="BodyText"/>
      </w:pPr>
      <w:r>
        <w:drawing>
          <wp:inline>
            <wp:extent cx="5334000" cy="3737197"/>
            <wp:effectExtent b="0" l="0" r="0" t="0"/>
            <wp:docPr descr="A diagram of a flowchart Description automatically generated" title="" id="41" name="Picture"/>
            <a:graphic>
              <a:graphicData uri="http://schemas.openxmlformats.org/drawingml/2006/picture">
                <pic:pic>
                  <pic:nvPicPr>
                    <pic:cNvPr descr="C:/Users/User/HelpArcher-to-pdf/HelpArcher-to-pdf-1/images/bba2b8b604193ad3a84616776a3b4dd2.png" id="42" name="Picture"/>
                    <pic:cNvPicPr>
                      <a:picLocks noChangeArrowheads="1" noChangeAspect="1"/>
                    </pic:cNvPicPr>
                  </pic:nvPicPr>
                  <pic:blipFill>
                    <a:blip r:embed="rId40"/>
                    <a:stretch>
                      <a:fillRect/>
                    </a:stretch>
                  </pic:blipFill>
                  <pic:spPr bwMode="auto">
                    <a:xfrm>
                      <a:off x="0" y="0"/>
                      <a:ext cx="5334000" cy="3737197"/>
                    </a:xfrm>
                    <a:prstGeom prst="rect">
                      <a:avLst/>
                    </a:prstGeom>
                    <a:noFill/>
                    <a:ln w="9525">
                      <a:noFill/>
                      <a:headEnd/>
                      <a:tailEnd/>
                    </a:ln>
                  </pic:spPr>
                </pic:pic>
              </a:graphicData>
            </a:graphic>
          </wp:inline>
        </w:drawing>
      </w:r>
    </w:p>
    <w:bookmarkEnd w:id="43"/>
    <w:bookmarkStart w:id="47" w:name="X5753088b7bca1ba4c98ff9b3c22cb6c875eda1b"/>
    <w:p>
      <w:pPr>
        <w:pStyle w:val="Heading4"/>
      </w:pPr>
      <w:r>
        <w:t xml:space="preserve">NATF Energy Sector Supply Chain Risk Questionnaire</w:t>
      </w:r>
    </w:p>
    <w:p>
      <w:pPr>
        <w:pStyle w:val="FirstParagraph"/>
      </w:pPr>
      <w:r>
        <w:t xml:space="preserve">The following diagram shows the general workflow of the NATF Energy Sector Supply Chain Risk Questionnaire.</w:t>
      </w:r>
    </w:p>
    <w:p>
      <w:pPr>
        <w:pStyle w:val="BodyText"/>
      </w:pPr>
      <w:r>
        <w:drawing>
          <wp:inline>
            <wp:extent cx="5206652" cy="4860098"/>
            <wp:effectExtent b="0" l="0" r="0" t="0"/>
            <wp:docPr descr="" title="" id="45" name="Picture"/>
            <a:graphic>
              <a:graphicData uri="http://schemas.openxmlformats.org/drawingml/2006/picture">
                <pic:pic>
                  <pic:nvPicPr>
                    <pic:cNvPr descr="C:/Users/User/HelpArcher-to-pdf/HelpArcher-to-pdf-1/images/d094af530e7f35fc0490293a5f5c7a6b.png" id="46" name="Picture"/>
                    <pic:cNvPicPr>
                      <a:picLocks noChangeArrowheads="1" noChangeAspect="1"/>
                    </pic:cNvPicPr>
                  </pic:nvPicPr>
                  <pic:blipFill>
                    <a:blip r:embed="rId44"/>
                    <a:stretch>
                      <a:fillRect/>
                    </a:stretch>
                  </pic:blipFill>
                  <pic:spPr bwMode="auto">
                    <a:xfrm>
                      <a:off x="0" y="0"/>
                      <a:ext cx="5206652" cy="4860098"/>
                    </a:xfrm>
                    <a:prstGeom prst="rect">
                      <a:avLst/>
                    </a:prstGeom>
                    <a:noFill/>
                    <a:ln w="9525">
                      <a:noFill/>
                      <a:headEnd/>
                      <a:tailEnd/>
                    </a:ln>
                  </pic:spPr>
                </pic:pic>
              </a:graphicData>
            </a:graphic>
          </wp:inline>
        </w:drawing>
      </w:r>
    </w:p>
    <w:bookmarkEnd w:id="47"/>
    <w:bookmarkEnd w:id="48"/>
    <w:bookmarkStart w:id="49" w:name="Applications"/>
    <w:p>
      <w:pPr>
        <w:pStyle w:val="Heading3"/>
      </w:pPr>
      <w:r>
        <w:t xml:space="preserve">Applications</w:t>
      </w:r>
    </w:p>
    <w:p>
      <w:pPr>
        <w:pStyle w:val="FirstParagraph"/>
      </w:pPr>
      <w:r>
        <w:t xml:space="preserve">The following table describes the Karta NERC CIP Accelerator components.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w:t>
            </w:r>
          </w:p>
        </w:tc>
        <w:tc>
          <w:tcPr/>
          <w:p>
            <w:pPr>
              <w:pStyle w:val="BodyText"/>
            </w:pPr>
            <w:r>
              <w:t xml:space="preserve">Description</w:t>
            </w:r>
          </w:p>
        </w:tc>
      </w:tr>
      <w:tr>
        <w:tc>
          <w:tcPr/>
          <w:p>
            <w:pPr>
              <w:pStyle w:val="BodyText"/>
            </w:pPr>
            <w:r>
              <w:t xml:space="preserve">Devices</w:t>
            </w:r>
          </w:p>
        </w:tc>
        <w:tc>
          <w:tcPr/>
          <w:p>
            <w:pPr>
              <w:pStyle w:val="BodyText"/>
            </w:pPr>
            <w:r>
              <w:t xml:space="preserve">The Karta NERC CIP Accelerator adds additional fields to the Devices application, allowing organizations to document additional data points that are needed when providing evidence during a NERC audit. Based on the classification of the asset, the revised application will provide fields for additional insight and understanding of items that support the Bulk Electric System (BES).</w:t>
            </w:r>
          </w:p>
        </w:tc>
      </w:tr>
      <w:tr>
        <w:tc>
          <w:tcPr/>
          <w:p>
            <w:pPr>
              <w:pStyle w:val="BodyText"/>
            </w:pPr>
            <w:r>
              <w:t xml:space="preserve">NERC Change Management</w:t>
            </w:r>
          </w:p>
        </w:tc>
        <w:tc>
          <w:tcPr/>
          <w:p>
            <w:pPr>
              <w:pStyle w:val="BodyText"/>
            </w:pPr>
            <w:r>
              <w:t xml:space="preserve">The NERC Change Management questionnaire provides utilities witha central location for requesting, approving and reviewing changes to IT Assets that support the Bulk Electric System (BES). After a change has been submitted, workflow participants can review the change for impacts based on NERC Requirements for CIP-005, CIP-007 and CIP-010. After a change is marked as implemented, team members can also review and sign off on any post-implementation effects to ensure there has not been a disruption to the organization.</w:t>
            </w:r>
          </w:p>
        </w:tc>
      </w:tr>
      <w:tr>
        <w:tc>
          <w:tcPr/>
          <w:p>
            <w:pPr>
              <w:pStyle w:val="BodyText"/>
            </w:pPr>
            <w:r>
              <w:t xml:space="preserve">NATF Energy Sector Supply Chain Risk Questionnaire V5</w:t>
            </w:r>
          </w:p>
        </w:tc>
        <w:tc>
          <w:tcPr/>
          <w:p>
            <w:pPr>
              <w:pStyle w:val="BodyText"/>
            </w:pPr>
            <w:r>
              <w:t xml:space="preserve">The North American Transmission Forum provides a publicly available vendor questionnaire organizations may reference to ensure they are conducting comprehensive vendor reviews that align with NERC Requirements. The Karta NERC CIP accelerator includes version 5 of this questionnaire released in the spring of 2024.</w:t>
            </w:r>
          </w:p>
        </w:tc>
      </w:tr>
    </w:tbl>
    <w:bookmarkEnd w:id="49"/>
    <w:bookmarkStart w:id="50"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Access Role</w:t>
            </w:r>
          </w:p>
        </w:tc>
        <w:tc>
          <w:tcPr/>
          <w:p>
            <w:pPr>
              <w:pStyle w:val="BodyText"/>
            </w:pPr>
            <w:r>
              <w:t xml:space="preserve">Description</w:t>
            </w:r>
          </w:p>
        </w:tc>
      </w:tr>
      <w:tr>
        <w:tc>
          <w:tcPr/>
          <w:p>
            <w:pPr>
              <w:pStyle w:val="BodyText"/>
            </w:pPr>
            <w:r>
              <w:t xml:space="preserve">NERC CIP – Admin</w:t>
            </w:r>
          </w:p>
        </w:tc>
        <w:tc>
          <w:tcPr/>
          <w:p>
            <w:pPr>
              <w:pStyle w:val="BodyText"/>
            </w:pPr>
            <w:r>
              <w:t xml:space="preserve">Associated with the NERC Compliance Administrator group. This role and group are listed as the Application/Questionnaire owners for the modules within the NERC CIP Accelerator solution.</w:t>
            </w:r>
          </w:p>
        </w:tc>
      </w:tr>
      <w:tr>
        <w:tc>
          <w:tcPr/>
          <w:p>
            <w:pPr>
              <w:pStyle w:val="BodyText"/>
            </w:pPr>
            <w:r>
              <w:t xml:space="preserve">NERC CIP – Manager</w:t>
            </w:r>
          </w:p>
        </w:tc>
        <w:tc>
          <w:tcPr/>
          <w:p>
            <w:pPr>
              <w:pStyle w:val="BodyText"/>
            </w:pPr>
            <w:r>
              <w:t xml:space="preserve">Associated with the NERC Compliance Manager group. This role manages record data within the solution, identifies NERC assets that are in-scope, creates third party risk assessments, and approves NERC Change management requests.</w:t>
            </w:r>
          </w:p>
        </w:tc>
      </w:tr>
      <w:tr>
        <w:tc>
          <w:tcPr/>
          <w:p>
            <w:pPr>
              <w:pStyle w:val="BodyText"/>
            </w:pPr>
            <w:r>
              <w:t xml:space="preserve">NERC CIP – SME</w:t>
            </w:r>
          </w:p>
        </w:tc>
        <w:tc>
          <w:tcPr/>
          <w:p>
            <w:pPr>
              <w:pStyle w:val="BodyText"/>
            </w:pPr>
            <w:r>
              <w:t xml:space="preserve">Associated with the NERC Compliance Operator group, enters CIP-010 change requests questionnaires, tests and validates post deployment compliance. May contribute to CIP-002 asset inventories and contribute knowledge to the CIP-013 third party risk assessments.</w:t>
            </w:r>
          </w:p>
        </w:tc>
      </w:tr>
      <w:tr>
        <w:tc>
          <w:tcPr/>
          <w:p>
            <w:pPr>
              <w:pStyle w:val="BodyText"/>
            </w:pPr>
            <w:r>
              <w:t xml:space="preserve">NERC CIP – Read</w:t>
            </w:r>
          </w:p>
        </w:tc>
        <w:tc>
          <w:tcPr/>
          <w:p>
            <w:pPr>
              <w:pStyle w:val="BodyText"/>
            </w:pPr>
            <w:r>
              <w:t xml:space="preserve">Associated with the NERC Compliance Executive Read group. This role grants read access to records throughout the NERC CIP Accelerator solution.</w:t>
            </w:r>
          </w:p>
        </w:tc>
      </w:tr>
    </w:tbl>
    <w:bookmarkEnd w:id="50"/>
    <w:bookmarkStart w:id="51" w:name="PermissionChart"/>
    <w:p>
      <w:pPr>
        <w:pStyle w:val="Heading3"/>
      </w:pPr>
      <w:r>
        <w:t xml:space="preserve">Permission Chart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FirstParagraph"/>
            </w:pPr>
            <w:r>
              <w:t xml:space="preserve">Application/Questionnaire</w:t>
            </w:r>
          </w:p>
        </w:tc>
        <w:tc>
          <w:tcPr/>
          <w:p>
            <w:pPr>
              <w:pStyle w:val="BodyText"/>
            </w:pPr>
            <w:r>
              <w:t xml:space="preserve">NERC CIP - Admin</w:t>
            </w:r>
          </w:p>
        </w:tc>
        <w:tc>
          <w:tcPr/>
          <w:p>
            <w:pPr>
              <w:pStyle w:val="BodyText"/>
            </w:pPr>
            <w:r>
              <w:t xml:space="preserve">NERC CIP - Manager</w:t>
            </w:r>
          </w:p>
        </w:tc>
        <w:tc>
          <w:tcPr/>
          <w:p>
            <w:pPr>
              <w:pStyle w:val="BodyText"/>
            </w:pPr>
            <w:r>
              <w:t xml:space="preserve">NERC CIP - SME</w:t>
            </w:r>
          </w:p>
        </w:tc>
        <w:tc>
          <w:tcPr/>
          <w:p>
            <w:pPr>
              <w:pStyle w:val="BodyText"/>
            </w:pPr>
            <w:r>
              <w:t xml:space="preserve">NERC CIP - Read</w:t>
            </w:r>
          </w:p>
        </w:tc>
      </w:tr>
      <w:tr>
        <w:tc>
          <w:tcPr/>
          <w:p>
            <w:pPr>
              <w:pStyle w:val="BodyText"/>
            </w:pPr>
            <w:r>
              <w:t xml:space="preserve">Devices</w:t>
            </w:r>
          </w:p>
        </w:tc>
        <w:tc>
          <w:tcPr/>
          <w:p>
            <w:pPr>
              <w:pStyle w:val="BodyText"/>
            </w:pPr>
            <w:r>
              <w:t xml:space="preserve">CRUD</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NERC Change Management</w:t>
            </w:r>
          </w:p>
        </w:tc>
        <w:tc>
          <w:tcPr/>
          <w:p>
            <w:pPr>
              <w:pStyle w:val="BodyText"/>
            </w:pPr>
            <w:r>
              <w:t xml:space="preserve">CRUD</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NATF Energy Sector Supply Chain Risk Questionnaire V5</w:t>
            </w:r>
          </w:p>
        </w:tc>
        <w:tc>
          <w:tcPr/>
          <w:p>
            <w:pPr>
              <w:pStyle w:val="BodyText"/>
            </w:pPr>
            <w:r>
              <w:t xml:space="preserve">CRUD</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Third Party Profile</w:t>
            </w:r>
          </w:p>
        </w:tc>
        <w:tc>
          <w:tcPr/>
          <w:p>
            <w:pPr>
              <w:pStyle w:val="BodyText"/>
            </w:pPr>
            <w:r>
              <w:t xml:space="preserve">CRUD</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Facilities</w:t>
            </w:r>
          </w:p>
        </w:tc>
        <w:tc>
          <w:tcPr/>
          <w:p>
            <w:pPr>
              <w:pStyle w:val="BodyText"/>
            </w:pPr>
            <w:r>
              <w:t xml:space="preserve">CRUD</w:t>
            </w:r>
          </w:p>
        </w:tc>
        <w:tc>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Products and Services</w:t>
            </w:r>
          </w:p>
        </w:tc>
        <w:tc>
          <w:tcPr/>
          <w:p>
            <w:pPr>
              <w:pStyle w:val="BodyText"/>
            </w:pPr>
            <w:r>
              <w:t xml:space="preserve">CRUD</w:t>
            </w:r>
          </w:p>
        </w:tc>
        <w:tc>
          <w:tcPr/>
          <w:p>
            <w:pPr>
              <w:pStyle w:val="BodyText"/>
            </w:pPr>
            <w:r>
              <w:t xml:space="preserve">CRU</w:t>
            </w:r>
          </w:p>
        </w:tc>
        <w:tc>
          <w:tcPr/>
          <w:p>
            <w:pPr>
              <w:pStyle w:val="BodyText"/>
            </w:pPr>
            <w:r>
              <w:t xml:space="preserve">CRU</w:t>
            </w:r>
          </w:p>
        </w:tc>
        <w:tc>
          <w:tcPr/>
          <w:p>
            <w:pPr>
              <w:pStyle w:val="BodyText"/>
            </w:pPr>
            <w:r>
              <w:t xml:space="preserve">R</w:t>
            </w:r>
          </w:p>
        </w:tc>
      </w:tr>
    </w:tbl>
    <w:p>
      <w:pPr>
        <w:pStyle w:val="BodyText"/>
      </w:pPr>
      <w:r>
        <w:t xml:space="preserve">C = Create, R = Read, U = Update, D = Delete</w:t>
      </w:r>
    </w:p>
    <w:bookmarkEnd w:id="51"/>
    <w:bookmarkEnd w:id="52"/>
    <w:bookmarkStart w:id="95" w:name="Installingtheoffering"/>
    <w:p>
      <w:pPr>
        <w:pStyle w:val="Heading2"/>
      </w:pPr>
      <w:r>
        <w:t xml:space="preserve">Installing the offering</w:t>
      </w:r>
    </w:p>
    <w:bookmarkStart w:id="53" w:name="Securityconsiderations"/>
    <w:p>
      <w:pPr>
        <w:pStyle w:val="Heading3"/>
      </w:pPr>
      <w:r>
        <w:t xml:space="preserve">Security considerations</w:t>
      </w:r>
    </w:p>
    <w:p>
      <w:pPr>
        <w:pStyle w:val="FirstParagraph"/>
      </w:pPr>
      <w:r>
        <w:t xml:space="preserve">The information in this publication is provided “as is”. Archer makes no representations or warranties of any kind with respect to the information in this publication, and specifically disclaims implied warranties of merchantability or fitness for a particular purpose. Client is solely responsible for ensuring that the installation of the application is performed in a secure manner. Archer recommends clients perform a full security evaluation prior to implementation.</w:t>
      </w:r>
    </w:p>
    <w:bookmarkEnd w:id="53"/>
    <w:bookmarkStart w:id="57" w:name="Installationoverview"/>
    <w:p>
      <w:pPr>
        <w:pStyle w:val="Heading3"/>
      </w:pPr>
      <w:r>
        <w:t xml:space="preserve">Installation overview</w:t>
      </w:r>
    </w:p>
    <w:p>
      <w:pPr>
        <w:pStyle w:val="FirstParagraph"/>
      </w:pPr>
      <w:r>
        <w:t xml:space="preserve">Complete the following tasks to install the offering.</w:t>
      </w:r>
    </w:p>
    <w:bookmarkStart w:id="55" w:name="Step1Preparefortheinstallation"/>
    <w:p>
      <w:pPr>
        <w:pStyle w:val="Heading4"/>
      </w:pPr>
      <w:r>
        <w:t xml:space="preserve">Step 1: Prepare for the installation</w:t>
      </w:r>
    </w:p>
    <w:p>
      <w:pPr>
        <w:numPr>
          <w:ilvl w:val="0"/>
          <w:numId w:val="1021"/>
        </w:numPr>
      </w:pPr>
      <w:r>
        <w:t xml:space="preserve">Ensure that your Archer system meets the following requirements:</w:t>
      </w:r>
    </w:p>
    <w:p>
      <w:pPr>
        <w:numPr>
          <w:ilvl w:val="1"/>
          <w:numId w:val="1022"/>
        </w:numPr>
      </w:pPr>
      <w:r>
        <w:t xml:space="preserve">Archer Platform Version: 2024.09</w:t>
      </w:r>
    </w:p>
    <w:p>
      <w:pPr>
        <w:numPr>
          <w:ilvl w:val="0"/>
          <w:numId w:val="1021"/>
        </w:numPr>
      </w:pPr>
      <w:r>
        <w:t xml:space="preserve">Read and understand "</w:t>
      </w:r>
      <w:hyperlink r:id="rId54">
        <w:r>
          <w:rPr>
            <w:rStyle w:val="Hyperlink"/>
          </w:rPr>
          <w:t xml:space="preserve">Packaging Data</w:t>
        </w:r>
      </w:hyperlink>
      <w:r>
        <w:t xml:space="preserve">" in the Archer Platform Help.</w:t>
      </w:r>
    </w:p>
    <w:bookmarkEnd w:id="55"/>
    <w:bookmarkStart w:id="56"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w:t>
      </w:r>
    </w:p>
    <w:bookmarkEnd w:id="56"/>
    <w:bookmarkEnd w:id="57"/>
    <w:bookmarkStart w:id="94" w:name="Installingthepackage"/>
    <w:p>
      <w:pPr>
        <w:pStyle w:val="Heading3"/>
      </w:pPr>
      <w:r>
        <w:t xml:space="preserve">Installing the package</w:t>
      </w:r>
    </w:p>
    <w:bookmarkStart w:id="58"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You must manually delete new objects created by the package installation.</w:t>
      </w:r>
    </w:p>
    <w:bookmarkEnd w:id="58"/>
    <w:bookmarkStart w:id="62" w:name="Task2Importthepackage"/>
    <w:p>
      <w:pPr>
        <w:pStyle w:val="Heading4"/>
      </w:pPr>
      <w:r>
        <w:t xml:space="preserve">Task 2: Import the package</w:t>
      </w:r>
    </w:p>
    <w:p>
      <w:pPr>
        <w:numPr>
          <w:ilvl w:val="0"/>
          <w:numId w:val="1023"/>
        </w:numPr>
      </w:pPr>
      <w:r>
        <w:t xml:space="preserve">From the menu bar, click</w:t>
      </w:r>
      <w:r>
        <w:t xml:space="preserve"> </w:t>
      </w:r>
      <w:r>
        <w:drawing>
          <wp:inline>
            <wp:extent cx="269507" cy="250256"/>
            <wp:effectExtent b="0" l="0" r="0" t="0"/>
            <wp:docPr descr="Admin menu" title="Admin menu" id="60" name="Picture"/>
            <a:graphic>
              <a:graphicData uri="http://schemas.openxmlformats.org/drawingml/2006/picture">
                <pic:pic>
                  <pic:nvPicPr>
                    <pic:cNvPr descr="C:/Users/User/HelpArcher-to-pdf/HelpArcher-to-pdf-1/images/d5abb064f35d6a5b0eecfc4362999618.png" id="61"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23"/>
        </w:numPr>
      </w:pPr>
      <w:r>
        <w:t xml:space="preserve">In the Available Packages section, click Import.</w:t>
      </w:r>
    </w:p>
    <w:p>
      <w:pPr>
        <w:numPr>
          <w:ilvl w:val="0"/>
          <w:numId w:val="1023"/>
        </w:numPr>
      </w:pPr>
      <w:r>
        <w:t xml:space="preserve">Click Add New, then select the package file that you want to import.</w:t>
      </w:r>
    </w:p>
    <w:p>
      <w:pPr>
        <w:numPr>
          <w:ilvl w:val="0"/>
          <w:numId w:val="1023"/>
        </w:numPr>
      </w:pPr>
      <w:r>
        <w:t xml:space="preserve">Click OK. The Available Packages section displays the package file and is ready for installation.</w:t>
      </w:r>
    </w:p>
    <w:bookmarkEnd w:id="62"/>
    <w:bookmarkStart w:id="87"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the Archer Core Devices application. This package adds a new tab to the application layout, named NERC Profile, and additional optional fields to the Devices application.</w:t>
      </w:r>
    </w:p>
    <w:p>
      <w:pPr>
        <w:pStyle w:val="BodyText"/>
      </w:pPr>
      <w:r>
        <w:t xml:space="preserve">Please consult with business stakeholders across the organization prior to making updates as the Devices application may be used by multiple business groups. It is advised that this action be first performed in a lower environment to ensure any existing configurations you may have done to the Devices application are not overwritten.</w:t>
      </w:r>
    </w:p>
    <w:p>
      <w:pPr>
        <w:numPr>
          <w:ilvl w:val="0"/>
          <w:numId w:val="1024"/>
        </w:numPr>
      </w:pPr>
      <w:r>
        <w:t xml:space="preserve">From the menu bar, click</w:t>
      </w:r>
      <w:r>
        <w:t xml:space="preserve"> </w:t>
      </w:r>
      <w:r>
        <w:drawing>
          <wp:inline>
            <wp:extent cx="269507" cy="250256"/>
            <wp:effectExtent b="0" l="0" r="0" t="0"/>
            <wp:docPr descr="Admin menu" title="Admin menu" id="63" name="Picture"/>
            <a:graphic>
              <a:graphicData uri="http://schemas.openxmlformats.org/drawingml/2006/picture">
                <pic:pic>
                  <pic:nvPicPr>
                    <pic:cNvPr descr="C:/Users/User/HelpArcher-to-pdf/HelpArcher-to-pdf-1/images/d5abb064f35d6a5b0eecfc4362999618.png" id="64"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24"/>
        </w:numPr>
      </w:pPr>
      <w:r>
        <w:t xml:space="preserve">In the Available Packages section, select the package you want to map.</w:t>
      </w:r>
    </w:p>
    <w:p>
      <w:pPr>
        <w:numPr>
          <w:ilvl w:val="0"/>
          <w:numId w:val="1024"/>
        </w:numPr>
      </w:pPr>
      <w:r>
        <w:t xml:space="preserve">In the Actions column, click</w:t>
      </w:r>
      <w:r>
        <w:t xml:space="preserve"> </w:t>
      </w:r>
      <w:r>
        <w:drawing>
          <wp:inline>
            <wp:extent cx="222836" cy="230521"/>
            <wp:effectExtent b="0" l="0" r="0" t="0"/>
            <wp:docPr descr="Analyze" title="" id="66" name="Picture"/>
            <a:graphic>
              <a:graphicData uri="http://schemas.openxmlformats.org/drawingml/2006/picture">
                <pic:pic>
                  <pic:nvPicPr>
                    <pic:cNvPr descr="C:/Users/User/HelpArcher-to-pdf/HelpArcher-to-pdf-1/images/2e871a0d78c15a30b0425a6c79bd60a2.png" id="67" name="Picture"/>
                    <pic:cNvPicPr>
                      <a:picLocks noChangeArrowheads="1" noChangeAspect="1"/>
                    </pic:cNvPicPr>
                  </pic:nvPicPr>
                  <pic:blipFill>
                    <a:blip r:embed="rId65"/>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25"/>
        </w:numPr>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pStyle w:val="FirstParagraph"/>
      </w:pPr>
      <w:r>
        <w:t xml:space="preserve">On each tab of the Advanced Mapping Page, review the icons next to each object to determine which objects you must map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69" name="Picture"/>
                  <a:graphic>
                    <a:graphicData uri="http://schemas.openxmlformats.org/drawingml/2006/picture">
                      <pic:pic>
                        <pic:nvPicPr>
                          <pic:cNvPr descr="C:/Users/User/HelpArcher-to-pdf/HelpArcher-to-pdf-1/images/85e21d3f9ec7c896c4dae09bc706d682.png" id="70" name="Picture"/>
                          <pic:cNvPicPr>
                            <a:picLocks noChangeArrowheads="1" noChangeAspect="1"/>
                          </pic:cNvPicPr>
                        </pic:nvPicPr>
                        <pic:blipFill>
                          <a:blip r:embed="rId68"/>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71" name="Picture"/>
                  <a:graphic>
                    <a:graphicData uri="http://schemas.openxmlformats.org/drawingml/2006/picture">
                      <pic:pic>
                        <pic:nvPicPr>
                          <pic:cNvPr descr="C:/Users/User/HelpArcher-to-pdf/HelpArcher-to-pdf-1/images/85e21d3f9ec7c896c4dae09bc706d682.png" id="72" name="Picture"/>
                          <pic:cNvPicPr>
                            <a:picLocks noChangeArrowheads="1" noChangeAspect="1"/>
                          </pic:cNvPicPr>
                        </pic:nvPicPr>
                        <pic:blipFill>
                          <a:blip r:embed="rId68"/>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74" name="Picture"/>
                  <a:graphic>
                    <a:graphicData uri="http://schemas.openxmlformats.org/drawingml/2006/picture">
                      <pic:pic>
                        <pic:nvPicPr>
                          <pic:cNvPr descr="C:/Users/User/HelpArcher-to-pdf/HelpArcher-to-pdf-1/images/cc73dff3906266180c4abdbe3fe3e512.png" id="75" name="Picture"/>
                          <pic:cNvPicPr>
                            <a:picLocks noChangeArrowheads="1" noChangeAspect="1"/>
                          </pic:cNvPicPr>
                        </pic:nvPicPr>
                        <pic:blipFill>
                          <a:blip r:embed="rId73"/>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 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77" name="Picture"/>
                  <a:graphic>
                    <a:graphicData uri="http://schemas.openxmlformats.org/drawingml/2006/picture">
                      <pic:pic>
                        <pic:nvPicPr>
                          <pic:cNvPr descr="C:/Users/User/HelpArcher-to-pdf/HelpArcher-to-pdf-1/images/a07d14b5cfcf193233effb39f5747a07.png" id="78" name="Picture"/>
                          <pic:cNvPicPr>
                            <a:picLocks noChangeArrowheads="1" noChangeAspect="1"/>
                          </pic:cNvPicPr>
                        </pic:nvPicPr>
                        <pic:blipFill>
                          <a:blip r:embed="rId76"/>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80" name="Picture"/>
                  <a:graphic>
                    <a:graphicData uri="http://schemas.openxmlformats.org/drawingml/2006/picture">
                      <pic:pic>
                        <pic:nvPicPr>
                          <pic:cNvPr descr="C:/Users/User/HelpArcher-to-pdf/HelpArcher-to-pdf-1/images/a6c9f9a1e9abd32010a49c9bcf69c864.png" id="81" name="Picture"/>
                          <pic:cNvPicPr>
                            <a:picLocks noChangeArrowheads="1" noChangeAspect="1"/>
                          </pic:cNvPicPr>
                        </pic:nvPicPr>
                        <pic:blipFill>
                          <a:blip r:embed="rId79"/>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26"/>
        </w:numPr>
      </w:pPr>
      <w:r>
        <w:t xml:space="preserve">For each object that requires remediation, do one of the following:</w:t>
      </w:r>
    </w:p>
    <w:p>
      <w:pPr>
        <w:numPr>
          <w:ilvl w:val="1"/>
          <w:numId w:val="1027"/>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the parent object provides a drill-down link. You must map child objects before parent objects. For more details, see"</w:t>
      </w:r>
      <w:hyperlink r:id="rId82">
        <w:r>
          <w:rPr>
            <w:rStyle w:val="Hyperlink"/>
          </w:rPr>
          <w:t xml:space="preserve">Mapping Parent/Child Objects</w:t>
        </w:r>
      </w:hyperlink>
      <w:r>
        <w:t xml:space="preserve">"in the Archer Platform Help.</w:t>
      </w:r>
    </w:p>
    <w:p>
      <w:pPr>
        <w:numPr>
          <w:ilvl w:val="1"/>
          <w:numId w:val="1027"/>
        </w:numPr>
      </w:pPr>
      <w:r>
        <w:t xml:space="preserve">To automatically map all objects in a tab that have different system IDs but the same object name as an object in the target instance, do the following:</w:t>
      </w:r>
    </w:p>
    <w:p>
      <w:pPr>
        <w:pStyle w:val="BlockText"/>
        <w:numPr>
          <w:ilvl w:val="1"/>
          <w:numId w:val="1028"/>
        </w:numPr>
      </w:pPr>
      <w:r>
        <w:t xml:space="preserve">In the toolbar, click Auto Map.</w:t>
      </w:r>
    </w:p>
    <w:p>
      <w:pPr>
        <w:pStyle w:val="BlockText"/>
        <w:numPr>
          <w:ilvl w:val="1"/>
          <w:numId w:val="1028"/>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BlockText"/>
            </w:pPr>
            <w:r>
              <w:t xml:space="preserve">Option</w:t>
            </w:r>
          </w:p>
        </w:tc>
        <w:tc>
          <w:tcPr/>
          <w:p>
            <w:pPr>
              <w:pStyle w:val="BlockText"/>
            </w:pPr>
            <w:r>
              <w:t xml:space="preserve">Description</w:t>
            </w:r>
          </w:p>
        </w:tc>
      </w:tr>
      <w:tr>
        <w:tc>
          <w:tcPr/>
          <w:p>
            <w:pPr>
              <w:pStyle w:val="BlockText"/>
            </w:pPr>
            <w:r>
              <w:t xml:space="preserve">Ignore case</w:t>
            </w:r>
          </w:p>
        </w:tc>
        <w:tc>
          <w:tcPr/>
          <w:p>
            <w:pPr>
              <w:pStyle w:val="BlockText"/>
            </w:pPr>
            <w:r>
              <w:t xml:space="preserve">Select this option to match objects with similar names regardless of the case of the characters in the object names.</w:t>
            </w:r>
          </w:p>
        </w:tc>
      </w:tr>
      <w:tr>
        <w:tc>
          <w:tcPr/>
          <w:p>
            <w:pPr>
              <w:pStyle w:val="BlockText"/>
            </w:pPr>
            <w:r>
              <w:t xml:space="preserve">Ignore spaces</w:t>
            </w:r>
          </w:p>
        </w:tc>
        <w:tc>
          <w:tcPr/>
          <w:p>
            <w:pPr>
              <w:pStyle w:val="BlockText"/>
            </w:pPr>
            <w:r>
              <w:t xml:space="preserve">Select this option to match objects with similar names regardless of whether spaces exist in the object names.</w:t>
            </w:r>
          </w:p>
        </w:tc>
      </w:tr>
    </w:tbl>
    <w:p>
      <w:pPr>
        <w:pStyle w:val="BlockText"/>
        <w:numPr>
          <w:ilvl w:val="1"/>
          <w:numId w:val="1028"/>
        </w:numPr>
      </w:pPr>
      <w:r>
        <w:t xml:space="preserve">Click OK.</w:t>
      </w:r>
    </w:p>
    <w:p>
      <w:pPr>
        <w:pStyle w:val="BlockText"/>
        <w:numPr>
          <w:ilvl w:val="1"/>
          <w:numId w:val="1000"/>
        </w:numPr>
      </w:pPr>
      <w:r>
        <w:t xml:space="preserve">The Confirmation dialog box opens with the total number of mappings performed. These mappings have not been committed to the database yet and can be modified in the Advanced Package Mapping page.</w:t>
      </w:r>
    </w:p>
    <w:p>
      <w:pPr>
        <w:pStyle w:val="BlockText"/>
        <w:numPr>
          <w:ilvl w:val="1"/>
          <w:numId w:val="1028"/>
        </w:numPr>
      </w:pPr>
      <w:r>
        <w:t xml:space="preserve">Click OK.</w:t>
      </w:r>
    </w:p>
    <w:p>
      <w:pPr>
        <w:numPr>
          <w:ilvl w:val="0"/>
          <w:numId w:val="1029"/>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in the Actions column, click Undo.</w:t>
      </w:r>
    </w:p>
    <w:p>
      <w:pPr>
        <w:pStyle w:val="BodyText"/>
      </w:pPr>
      <w:r>
        <w:t xml:space="preserve">When all objects are mapped, the</w:t>
      </w:r>
      <w:r>
        <w:t xml:space="preserve"> </w:t>
      </w:r>
      <w:r>
        <w:drawing>
          <wp:inline>
            <wp:extent cx="238125" cy="266700"/>
            <wp:effectExtent b="0" l="0" r="0" t="0"/>
            <wp:docPr descr="Checkmark" title="" id="83" name="Picture"/>
            <a:graphic>
              <a:graphicData uri="http://schemas.openxmlformats.org/drawingml/2006/picture">
                <pic:pic>
                  <pic:nvPicPr>
                    <pic:cNvPr descr="C:/Users/User/HelpArcher-to-pdf/HelpArcher-to-pdf-1/images/cc73dff3906266180c4abdbe3fe3e512.png" id="84" name="Picture"/>
                    <pic:cNvPicPr>
                      <a:picLocks noChangeArrowheads="1" noChangeAspect="1"/>
                    </pic:cNvPicPr>
                  </pic:nvPicPr>
                  <pic:blipFill>
                    <a:blip r:embed="rId73"/>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85" name="Picture"/>
            <a:graphic>
              <a:graphicData uri="http://schemas.openxmlformats.org/drawingml/2006/picture">
                <pic:pic>
                  <pic:nvPicPr>
                    <pic:cNvPr descr="C:/Users/User/HelpArcher-to-pdf/HelpArcher-to-pdf-1/images/a07d14b5cfcf193233effb39f5747a07.png" id="86" name="Picture"/>
                    <pic:cNvPicPr>
                      <a:picLocks noChangeArrowheads="1" noChangeAspect="1"/>
                    </pic:cNvPicPr>
                  </pic:nvPicPr>
                  <pic:blipFill>
                    <a:blip r:embed="rId76"/>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30"/>
        </w:numPr>
      </w:pPr>
      <w:r>
        <w:t xml:space="preserve">Verify that all other objects are mapped correctly.</w:t>
      </w:r>
    </w:p>
    <w:p>
      <w:pPr>
        <w:numPr>
          <w:ilvl w:val="0"/>
          <w:numId w:val="1030"/>
        </w:numPr>
      </w:pPr>
      <w:r>
        <w:t xml:space="preserve">(Optional) To save your mapping settings so that you can resume working later, see "Importing and Exporting Mapping Settings" in the Archer Platform Help.</w:t>
      </w:r>
    </w:p>
    <w:p>
      <w:pPr>
        <w:numPr>
          <w:ilvl w:val="0"/>
          <w:numId w:val="1030"/>
        </w:numPr>
      </w:pPr>
      <w:r>
        <w:t xml:space="preserve">Once you have reviewed and mapped all objects, click Execute.</w:t>
      </w:r>
    </w:p>
    <w:p>
      <w:pPr>
        <w:numPr>
          <w:ilvl w:val="0"/>
          <w:numId w:val="1030"/>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You will need to update any Data Feeds and Web Service APIs that use these objects, with the new system IDs.</w:t>
      </w:r>
    </w:p>
    <w:bookmarkEnd w:id="87"/>
    <w:bookmarkStart w:id="90"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The Log Messages section provides a list of conditions that may cause objects not to be installed. The Package Installation Log section displays a log entry.</w:t>
      </w:r>
    </w:p>
    <w:p>
      <w:pPr>
        <w:numPr>
          <w:ilvl w:val="0"/>
          <w:numId w:val="1031"/>
        </w:numPr>
      </w:pPr>
      <w:r>
        <w:t xml:space="preserve">From the menu bar, click</w:t>
      </w:r>
      <w:r>
        <w:t xml:space="preserve"> </w:t>
      </w:r>
      <w:r>
        <w:drawing>
          <wp:inline>
            <wp:extent cx="269507" cy="250256"/>
            <wp:effectExtent b="0" l="0" r="0" t="0"/>
            <wp:docPr descr="Admin menu" title="Admin menu" id="88" name="Picture"/>
            <a:graphic>
              <a:graphicData uri="http://schemas.openxmlformats.org/drawingml/2006/picture">
                <pic:pic>
                  <pic:nvPicPr>
                    <pic:cNvPr descr="C:/Users/User/HelpArcher-to-pdf/HelpArcher-to-pdf-1/images/d5abb064f35d6a5b0eecfc4362999618.png" id="89"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31"/>
        </w:numPr>
      </w:pPr>
      <w:r>
        <w:t xml:space="preserve">In the Available Packages section, locate the package file that you want to install, and click Install.</w:t>
      </w:r>
    </w:p>
    <w:p>
      <w:pPr>
        <w:numPr>
          <w:ilvl w:val="0"/>
          <w:numId w:val="1031"/>
        </w:numPr>
      </w:pPr>
      <w:r>
        <w:t xml:space="preserve">In the Selected Components section, click the Lookup button to open the Package Selector window.</w:t>
      </w:r>
    </w:p>
    <w:p>
      <w:pPr>
        <w:numPr>
          <w:ilvl w:val="1"/>
          <w:numId w:val="1032"/>
        </w:numPr>
      </w:pPr>
      <w:r>
        <w:t xml:space="preserve">To select all components, select the top-level checkbox.</w:t>
      </w:r>
    </w:p>
    <w:p>
      <w:pPr>
        <w:numPr>
          <w:ilvl w:val="1"/>
          <w:numId w:val="1032"/>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3"/>
        </w:numPr>
      </w:pPr>
      <w:r>
        <w:t xml:space="preserve">Under the Install Method drop-down menu,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4"/>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 up post-install.</w:t>
      </w:r>
    </w:p>
    <w:p>
      <w:pPr>
        <w:numPr>
          <w:ilvl w:val="0"/>
          <w:numId w:val="1034"/>
        </w:numPr>
      </w:pPr>
      <w:r>
        <w:t xml:space="preserve">Click Install.</w:t>
      </w:r>
    </w:p>
    <w:p>
      <w:pPr>
        <w:numPr>
          <w:ilvl w:val="0"/>
          <w:numId w:val="1034"/>
        </w:numPr>
      </w:pPr>
      <w:r>
        <w:t xml:space="preserve">Click OK.</w:t>
      </w:r>
    </w:p>
    <w:bookmarkEnd w:id="90"/>
    <w:bookmarkStart w:id="93" w:name="Task5Reviewthepackageinstallationlog"/>
    <w:p>
      <w:pPr>
        <w:pStyle w:val="Heading4"/>
      </w:pPr>
      <w:r>
        <w:t xml:space="preserve">Task 5: Review the package installation log</w:t>
      </w:r>
    </w:p>
    <w:p>
      <w:pPr>
        <w:numPr>
          <w:ilvl w:val="0"/>
          <w:numId w:val="1035"/>
        </w:numPr>
      </w:pPr>
      <w:r>
        <w:t xml:space="preserve">From the menu bar, click</w:t>
      </w:r>
      <w:r>
        <w:t xml:space="preserve"> </w:t>
      </w:r>
      <w:r>
        <w:drawing>
          <wp:inline>
            <wp:extent cx="269507" cy="250256"/>
            <wp:effectExtent b="0" l="0" r="0" t="0"/>
            <wp:docPr descr="Admin menu" title="Admin menu" id="91" name="Picture"/>
            <a:graphic>
              <a:graphicData uri="http://schemas.openxmlformats.org/drawingml/2006/picture">
                <pic:pic>
                  <pic:nvPicPr>
                    <pic:cNvPr descr="C:/Users/User/HelpArcher-to-pdf/HelpArcher-to-pdf-1/images/d5abb064f35d6a5b0eecfc4362999618.png" id="92"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35"/>
        </w:numPr>
      </w:pPr>
      <w:r>
        <w:t xml:space="preserve">In the Package Installation Log tab, click the package that you want to view.</w:t>
      </w:r>
    </w:p>
    <w:p>
      <w:pPr>
        <w:numPr>
          <w:ilvl w:val="0"/>
          <w:numId w:val="1035"/>
        </w:numPr>
      </w:pPr>
      <w:r>
        <w:t xml:space="preserve">In the Package Installation Log page, in the Object Details section, click View All Errors.</w:t>
      </w:r>
      <w:r>
        <w:br/>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r>
        <w:br/>
      </w:r>
    </w:p>
    <w:p>
      <w:pPr>
        <w:numPr>
          <w:ilvl w:val="0"/>
          <w:numId w:val="1035"/>
        </w:numPr>
      </w:pPr>
      <w:r>
        <w:t xml:space="preserve">Click the Export icon to export the log file.</w:t>
      </w:r>
    </w:p>
    <w:p>
      <w:pPr>
        <w:numPr>
          <w:ilvl w:val="0"/>
          <w:numId w:val="1035"/>
        </w:numPr>
      </w:pPr>
      <w:r>
        <w:t xml:space="preserve">Click Close.</w:t>
      </w:r>
      <w:r>
        <w:br/>
      </w:r>
    </w:p>
    <w:bookmarkEnd w:id="93"/>
    <w:bookmarkEnd w:id="94"/>
    <w:bookmarkEnd w:id="95"/>
    <w:bookmarkStart w:id="104" w:name="Configuringtheoffering"/>
    <w:p>
      <w:pPr>
        <w:pStyle w:val="Heading2"/>
      </w:pPr>
      <w:r>
        <w:t xml:space="preserve">Configuring the offering</w:t>
      </w:r>
    </w:p>
    <w:bookmarkStart w:id="98" w:name="Step1OrganizeandsetupNERCGroups"/>
    <w:p>
      <w:pPr>
        <w:pStyle w:val="Heading3"/>
      </w:pPr>
      <w:r>
        <w:t xml:space="preserve">Step 1: Organize and set up NERC Groups</w:t>
      </w:r>
    </w:p>
    <w:p>
      <w:pPr>
        <w:pStyle w:val="FirstParagraph"/>
      </w:pPr>
      <w:r>
        <w:t xml:space="preserve">When loading new groups into an environment via a package, Archer does not maintain the original parent/child relationships. The following groups are included with this build:</w:t>
      </w:r>
    </w:p>
    <w:bookmarkStart w:id="96" w:name="Xb26b9ac4938bc781d1683397e7145c9996868d6"/>
    <w:p>
      <w:pPr>
        <w:pStyle w:val="Heading4"/>
      </w:pPr>
      <w:r>
        <w:t xml:space="preserve">Task 1: Nest NERC Compliance Groups Under Parent Group (Optional)</w:t>
      </w:r>
    </w:p>
    <w:p>
      <w:pPr>
        <w:pStyle w:val="FirstParagraph"/>
      </w:pPr>
      <w:r>
        <w:t xml:space="preserve">The following steps can be performed if the ‘Karta NERC Compliance Management App-Pack' is already installed in the system and the NERC Compliance group is already present in the systemor after creation of NERC Compliance group, these steps can be followed.</w:t>
      </w:r>
    </w:p>
    <w:p>
      <w:pPr>
        <w:numPr>
          <w:ilvl w:val="0"/>
          <w:numId w:val="1036"/>
        </w:numPr>
      </w:pPr>
      <w:r>
        <w:t xml:space="preserve">The NERC Compliance group is the parent group container. Upon completing the installation, you will need to nest the specific groups under this master group.</w:t>
      </w:r>
    </w:p>
    <w:p>
      <w:pPr>
        <w:numPr>
          <w:ilvl w:val="0"/>
          <w:numId w:val="1036"/>
        </w:numPr>
      </w:pPr>
      <w:r>
        <w:t xml:space="preserve">Under the administration options, navigate to the Access Control menu.</w:t>
      </w:r>
    </w:p>
    <w:p>
      <w:pPr>
        <w:numPr>
          <w:ilvl w:val="0"/>
          <w:numId w:val="1036"/>
        </w:numPr>
      </w:pPr>
      <w:r>
        <w:t xml:space="preserve">Open the “Groups” page.</w:t>
      </w:r>
    </w:p>
    <w:p>
      <w:pPr>
        <w:numPr>
          <w:ilvl w:val="0"/>
          <w:numId w:val="1036"/>
        </w:numPr>
      </w:pPr>
      <w:r>
        <w:t xml:space="preserve">Select “NERC Compliance.” The NERC Compliance group opens.</w:t>
      </w:r>
    </w:p>
    <w:p>
      <w:pPr>
        <w:numPr>
          <w:ilvl w:val="0"/>
          <w:numId w:val="1036"/>
        </w:numPr>
      </w:pPr>
      <w:r>
        <w:t xml:space="preserve">In the Members section, select to add the following groups as members of the NERC Compliance group:</w:t>
      </w:r>
    </w:p>
    <w:p>
      <w:pPr>
        <w:numPr>
          <w:ilvl w:val="1"/>
          <w:numId w:val="1037"/>
        </w:numPr>
      </w:pPr>
      <w:r>
        <w:t xml:space="preserve">NERC Compliance Administrator – The members of this group have Application/Questionnaire ownership rights within the solution, allowing them the ability to Create/Update/Delete module components such as fields, events, and layout objects.</w:t>
      </w:r>
    </w:p>
    <w:p>
      <w:pPr>
        <w:numPr>
          <w:ilvl w:val="1"/>
          <w:numId w:val="1037"/>
        </w:numPr>
      </w:pPr>
      <w:r>
        <w:t xml:space="preserve">NERC Compliance Manager – The members of this group have completecreate, read and update access, to all records within the NERC Compliance solution.</w:t>
      </w:r>
    </w:p>
    <w:p>
      <w:pPr>
        <w:numPr>
          <w:ilvl w:val="1"/>
          <w:numId w:val="1037"/>
        </w:numPr>
      </w:pPr>
      <w:r>
        <w:t xml:space="preserve">NERC Compliance Operator – The members of this group have the ability to create records within all components of the solution, but only have read/update rights to records where they have been specifically selected within a Record Permissions field.</w:t>
      </w:r>
    </w:p>
    <w:p>
      <w:pPr>
        <w:numPr>
          <w:ilvl w:val="1"/>
          <w:numId w:val="1037"/>
        </w:numPr>
      </w:pPr>
      <w:r>
        <w:t xml:space="preserve">NERC Compliance Executive Read – The members of this group have Read Only to all records within the NERC CIP Accelerator solution.</w:t>
      </w:r>
      <w:r>
        <w:br/>
      </w:r>
    </w:p>
    <w:p>
      <w:pPr>
        <w:numPr>
          <w:ilvl w:val="0"/>
          <w:numId w:val="1036"/>
        </w:numPr>
      </w:pPr>
      <w:r>
        <w:t xml:space="preserve">For future groups you may create for managing NERC, place those groups as members of the “NERC Compliance” group. While this group will serve as a container for other groups, it is not intended that any individual be a direct member of this parent group.</w:t>
      </w:r>
    </w:p>
    <w:p>
      <w:pPr>
        <w:numPr>
          <w:ilvl w:val="0"/>
          <w:numId w:val="1036"/>
        </w:numPr>
      </w:pPr>
      <w:r>
        <w:t xml:space="preserve">Click Save to complete the update.</w:t>
      </w:r>
    </w:p>
    <w:bookmarkEnd w:id="96"/>
    <w:bookmarkStart w:id="97" w:name="Task2PopulateNERCGroupswithRelevantStaff"/>
    <w:p>
      <w:pPr>
        <w:pStyle w:val="Heading4"/>
      </w:pPr>
      <w:r>
        <w:t xml:space="preserve">Task 2: Populate NERC Groups with Relevant Staff</w:t>
      </w:r>
    </w:p>
    <w:p>
      <w:pPr>
        <w:pStyle w:val="FirstParagraph"/>
      </w:pPr>
      <w:r>
        <w:t xml:space="preserve">Various processes within the NERC solution require specific users to be members of certain groups. Before you can fully utilize the NERC solution, you must populate each group with at least one user.</w:t>
      </w:r>
    </w:p>
    <w:p>
      <w:pPr>
        <w:numPr>
          <w:ilvl w:val="0"/>
          <w:numId w:val="1038"/>
        </w:numPr>
      </w:pPr>
      <w:r>
        <w:t xml:space="preserve">Under the administration options, navigate to the Access Control menu.</w:t>
      </w:r>
    </w:p>
    <w:p>
      <w:pPr>
        <w:numPr>
          <w:ilvl w:val="0"/>
          <w:numId w:val="1038"/>
        </w:numPr>
      </w:pPr>
      <w:r>
        <w:t xml:space="preserve">Open the “Groups” page.</w:t>
      </w:r>
    </w:p>
    <w:p>
      <w:pPr>
        <w:numPr>
          <w:ilvl w:val="0"/>
          <w:numId w:val="1038"/>
        </w:numPr>
      </w:pPr>
      <w:r>
        <w:t xml:space="preserve">Select one of the specific NERC Compliance groups, such as “NERC Compliance Administrator.” The group opens.</w:t>
      </w:r>
    </w:p>
    <w:p>
      <w:pPr>
        <w:numPr>
          <w:ilvl w:val="0"/>
          <w:numId w:val="1038"/>
        </w:numPr>
      </w:pPr>
      <w:r>
        <w:t xml:space="preserve">In the Members section, select one or more individuals to be a member of this group.</w:t>
      </w:r>
    </w:p>
    <w:p>
      <w:pPr>
        <w:numPr>
          <w:ilvl w:val="0"/>
          <w:numId w:val="1038"/>
        </w:numPr>
      </w:pPr>
      <w:r>
        <w:t xml:space="preserve">Click Save to complete the update.</w:t>
      </w:r>
    </w:p>
    <w:p>
      <w:pPr>
        <w:numPr>
          <w:ilvl w:val="0"/>
          <w:numId w:val="1038"/>
        </w:numPr>
      </w:pPr>
      <w:r>
        <w:t xml:space="preserve">Repeat these steps for all other NERC groups so that each group has a minimum of one member.</w:t>
      </w:r>
    </w:p>
    <w:bookmarkEnd w:id="97"/>
    <w:bookmarkEnd w:id="98"/>
    <w:bookmarkStart w:id="101" w:name="Step2Activateadvancedworkflows"/>
    <w:p>
      <w:pPr>
        <w:pStyle w:val="Heading3"/>
      </w:pPr>
      <w:r>
        <w:t xml:space="preserve">Step 2: Activate advanced workflows</w:t>
      </w:r>
    </w:p>
    <w:p>
      <w:pPr>
        <w:pStyle w:val="FirstParagraph"/>
      </w:pPr>
      <w:r>
        <w:t xml:space="preserve">By default, Advanced Workflows are inactivated by packaging and need to be reactivated after the installation is complete.</w:t>
      </w:r>
    </w:p>
    <w:p>
      <w:pPr>
        <w:numPr>
          <w:ilvl w:val="0"/>
          <w:numId w:val="1039"/>
        </w:numPr>
      </w:pPr>
      <w:r>
        <w:t xml:space="preserve">From the menu bar, the menu bar, click the Administration</w:t>
      </w:r>
      <w:r>
        <w:t xml:space="preserve"> </w:t>
      </w:r>
      <w:r>
        <w:drawing>
          <wp:inline>
            <wp:extent cx="269507" cy="250256"/>
            <wp:effectExtent b="0" l="0" r="0" t="0"/>
            <wp:docPr descr="" title="" id="99" name="Picture"/>
            <a:graphic>
              <a:graphicData uri="http://schemas.openxmlformats.org/drawingml/2006/picture">
                <pic:pic>
                  <pic:nvPicPr>
                    <pic:cNvPr descr="C:/Users/User/HelpArcher-to-pdf/HelpArcher-to-pdf-1/images/d5abb064f35d6a5b0eecfc4362999618.png" id="100" name="Picture"/>
                    <pic:cNvPicPr>
                      <a:picLocks noChangeArrowheads="1" noChangeAspect="1"/>
                    </pic:cNvPicPr>
                  </pic:nvPicPr>
                  <pic:blipFill>
                    <a:blip r:embed="rId59"/>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icon.</w:t>
      </w:r>
    </w:p>
    <w:p>
      <w:pPr>
        <w:numPr>
          <w:ilvl w:val="0"/>
          <w:numId w:val="1039"/>
        </w:numPr>
      </w:pPr>
      <w:r>
        <w:t xml:space="preserve">Under Application Builder, click Applications, and then search for NERC Change Management and open the questionnaire.</w:t>
      </w:r>
    </w:p>
    <w:p>
      <w:pPr>
        <w:numPr>
          <w:ilvl w:val="0"/>
          <w:numId w:val="1039"/>
        </w:numPr>
      </w:pPr>
      <w:r>
        <w:t xml:space="preserve">Click the Advanced Workflow tab.</w:t>
      </w:r>
    </w:p>
    <w:p>
      <w:pPr>
        <w:numPr>
          <w:ilvl w:val="0"/>
          <w:numId w:val="1039"/>
        </w:numPr>
      </w:pPr>
      <w:r>
        <w:t xml:space="preserve">Click Activate, then Save Workflow.</w:t>
      </w:r>
    </w:p>
    <w:p>
      <w:pPr>
        <w:numPr>
          <w:ilvl w:val="0"/>
          <w:numId w:val="1040"/>
        </w:numPr>
      </w:pPr>
      <w:r>
        <w:t xml:space="preserve">Repeat the same process to activate the Advanced Workflow for the NATF Energy Sector Supplier Risk Questionnaire.</w:t>
      </w:r>
    </w:p>
    <w:bookmarkEnd w:id="101"/>
    <w:bookmarkStart w:id="102" w:name="Step3Personalizetheworkspacedisplay"/>
    <w:p>
      <w:pPr>
        <w:pStyle w:val="Heading3"/>
      </w:pPr>
      <w:r>
        <w:t xml:space="preserve">Step 3: Personalize the workspace display</w:t>
      </w:r>
    </w:p>
    <w:p>
      <w:pPr>
        <w:pStyle w:val="FirstParagraph"/>
      </w:pPr>
      <w:r>
        <w:t xml:space="preserve">The NERC CIP Management workspace may appear lower in the list of Workspaces displayed at the top of the Archer homepage after the installation. The ordering of the workspace tab strip is a task done by each individual user. Moving up the NERC CIP Management workspace in the view does not move the workspace for all users.</w:t>
      </w:r>
    </w:p>
    <w:p>
      <w:pPr>
        <w:numPr>
          <w:ilvl w:val="0"/>
          <w:numId w:val="1041"/>
        </w:numPr>
      </w:pPr>
      <w:r>
        <w:t xml:space="preserve">Each user will click his/her initials at the top right-hand side of the Archer homepage and select Preferences.</w:t>
      </w:r>
    </w:p>
    <w:p>
      <w:pPr>
        <w:numPr>
          <w:ilvl w:val="0"/>
          <w:numId w:val="1042"/>
        </w:numPr>
      </w:pPr>
      <w:r>
        <w:t xml:space="preserve">Under the Workspaces tab, click the handle to the left of the workspace to move, and then drag it up higher in the list. Once done click Save.</w:t>
      </w:r>
    </w:p>
    <w:bookmarkEnd w:id="102"/>
    <w:bookmarkStart w:id="103" w:name="Step4ConfigureRecordPermissions"/>
    <w:p>
      <w:pPr>
        <w:pStyle w:val="Heading3"/>
      </w:pPr>
      <w:r>
        <w:t xml:space="preserve">Step 4: Configure Record Permissions</w:t>
      </w:r>
    </w:p>
    <w:p>
      <w:pPr>
        <w:numPr>
          <w:ilvl w:val="0"/>
          <w:numId w:val="1043"/>
        </w:numPr>
      </w:pPr>
      <w:r>
        <w:t xml:space="preserve">All NERC group members must haveread access to Third Party Profile, Facilities, Product &amp; Services records. Configure record permissions in Third Party Profile, Facilities and Products and Services application to grant content level access to NERC Compliance Administrator, NERC Compliance Executive Read, NERC Compliance Manager and NERC Compliance Operator group.</w:t>
      </w:r>
    </w:p>
    <w:p>
      <w:pPr>
        <w:numPr>
          <w:ilvl w:val="0"/>
          <w:numId w:val="1043"/>
        </w:numPr>
      </w:pPr>
      <w:r>
        <w:t xml:space="preserve">NERC Compliance Manager must have update access to Devices records. So that they can modify existing records.</w:t>
      </w:r>
    </w:p>
    <w:p>
      <w:pPr>
        <w:numPr>
          <w:ilvl w:val="1"/>
          <w:numId w:val="1044"/>
        </w:numPr>
      </w:pPr>
      <w:r>
        <w:t xml:space="preserve">Open the Devices Application and search for ‘NERC Default Record Permission’ field.</w:t>
      </w:r>
    </w:p>
    <w:p>
      <w:pPr>
        <w:numPr>
          <w:ilvl w:val="1"/>
          <w:numId w:val="1044"/>
        </w:numPr>
      </w:pPr>
      <w:r>
        <w:t xml:space="preserve">Go to ‘Default Users/Groups’ section.</w:t>
      </w:r>
    </w:p>
    <w:p>
      <w:pPr>
        <w:numPr>
          <w:ilvl w:val="1"/>
          <w:numId w:val="1044"/>
        </w:numPr>
      </w:pPr>
      <w:r>
        <w:t xml:space="preserve">Check the Update Checkbox for ‘NERC Compliance Manager’ group.</w:t>
      </w:r>
    </w:p>
    <w:p>
      <w:pPr>
        <w:numPr>
          <w:ilvl w:val="1"/>
          <w:numId w:val="1044"/>
        </w:numPr>
      </w:pPr>
      <w:r>
        <w:t xml:space="preserve">Save the field.</w:t>
      </w:r>
    </w:p>
    <w:bookmarkEnd w:id="103"/>
    <w:bookmarkEnd w:id="104"/>
    <w:bookmarkStart w:id="120" w:name="Usingtheoffering"/>
    <w:p>
      <w:pPr>
        <w:pStyle w:val="Heading2"/>
      </w:pPr>
      <w:r>
        <w:t xml:space="preserve">Using the offering</w:t>
      </w:r>
    </w:p>
    <w:bookmarkStart w:id="106" w:name="DevicesApplication"/>
    <w:p>
      <w:pPr>
        <w:pStyle w:val="Heading3"/>
      </w:pPr>
      <w:r>
        <w:t xml:space="preserve">Devices Application</w:t>
      </w:r>
    </w:p>
    <w:p>
      <w:pPr>
        <w:pStyle w:val="FirstParagraph"/>
      </w:pPr>
      <w:r>
        <w:rPr>
          <w:b/>
          <w:bCs/>
        </w:rPr>
        <w:t xml:space="preserve">User Persona:</w:t>
      </w:r>
      <w:r>
        <w:t xml:space="preserve"> </w:t>
      </w:r>
      <w:r>
        <w:t xml:space="preserve">NERC Compliance Manager</w:t>
      </w:r>
    </w:p>
    <w:p>
      <w:pPr>
        <w:pStyle w:val="BodyText"/>
      </w:pPr>
      <w:r>
        <w:t xml:space="preserve">As a core Archer application, it is likely you may already have records populated within your Devices application. The NERC CIP Accelerator appends additional fields, specific to NERC compliance to this repository. NERC content is hidden within a record up until a user selects, “Yes” in the NERC Scope field.</w:t>
      </w:r>
    </w:p>
    <w:p>
      <w:pPr>
        <w:pStyle w:val="BodyText"/>
      </w:pPr>
      <w:r>
        <w:t xml:space="preserve">Once “Yes” is selected, you will see a new tab across the top of the application named, “NERC Profile.” From this tab you can populate various fields needed when reporting device/asset information while demonstrating NERC compliance.</w:t>
      </w:r>
    </w:p>
    <w:p>
      <w:pPr>
        <w:pStyle w:val="BodyText"/>
      </w:pPr>
      <w:r>
        <w:t xml:space="preserve">Based on your selection in the NERC Device Category field, additional sections will appear on this tab for you to populate. Once these fields populate them with the appropriate values.</w:t>
      </w:r>
    </w:p>
    <w:p>
      <w:pPr>
        <w:pStyle w:val="BodyText"/>
      </w:pPr>
      <w:r>
        <w:t xml:space="preserve">During a NERC review period, your team can use the “NERC CIP Evidence Request Tool” dashboard to generate reports that align with NERC’s online ERT tool. For more information on this process, please review NERC’s page dedicated to this file:</w:t>
      </w:r>
      <w:r>
        <w:t xml:space="preserve"> </w:t>
      </w:r>
      <w:hyperlink r:id="rId105">
        <w:r>
          <w:rPr>
            <w:rStyle w:val="Hyperlink"/>
          </w:rPr>
          <w:t xml:space="preserve">https://www.nerc.com/pa/comp/CAOneStopShop/CIP%20Evidence%20Request%20Tool%20User%20Guide%20v8.pdf</w:t>
        </w:r>
      </w:hyperlink>
    </w:p>
    <w:bookmarkEnd w:id="106"/>
    <w:bookmarkStart w:id="111" w:name="NERCChangeManagementQuestionnaire"/>
    <w:p>
      <w:pPr>
        <w:pStyle w:val="Heading3"/>
      </w:pPr>
      <w:r>
        <w:t xml:space="preserve">NERC Change Management Questionnaire</w:t>
      </w:r>
    </w:p>
    <w:bookmarkStart w:id="107" w:name="Task1CreateChangeManagementRequest"/>
    <w:p>
      <w:pPr>
        <w:pStyle w:val="Heading4"/>
      </w:pPr>
      <w:r>
        <w:t xml:space="preserve">Task 1: Create Change Management Request</w:t>
      </w:r>
    </w:p>
    <w:p>
      <w:pPr>
        <w:pStyle w:val="FirstParagraph"/>
      </w:pPr>
      <w:r>
        <w:rPr>
          <w:b/>
          <w:bCs/>
        </w:rPr>
        <w:t xml:space="preserve">Important:</w:t>
      </w:r>
      <w:r>
        <w:t xml:space="preserve"> </w:t>
      </w:r>
      <w:r>
        <w:t xml:space="preserve">Please ensure that all assets have been created in the devices application before creating a change request and any needed personnel exist in the personnel application.</w:t>
      </w:r>
    </w:p>
    <w:p>
      <w:pPr>
        <w:pStyle w:val="BodyText"/>
      </w:pPr>
      <w:r>
        <w:rPr>
          <w:b/>
          <w:bCs/>
        </w:rPr>
        <w:t xml:space="preserve">User Persona:</w:t>
      </w:r>
      <w:r>
        <w:t xml:space="preserve"> </w:t>
      </w:r>
      <w:r>
        <w:t xml:space="preserve">NERC Compliance Operator</w:t>
      </w:r>
    </w:p>
    <w:p>
      <w:pPr>
        <w:numPr>
          <w:ilvl w:val="0"/>
          <w:numId w:val="1045"/>
        </w:numPr>
      </w:pPr>
      <w:r>
        <w:t xml:space="preserve">Navigate to the NERC Change Management Dashboard under NERC CIP Management &gt; Dashboards &gt; NERC Change Management.</w:t>
      </w:r>
    </w:p>
    <w:p>
      <w:pPr>
        <w:numPr>
          <w:ilvl w:val="0"/>
          <w:numId w:val="1045"/>
        </w:numPr>
      </w:pPr>
      <w:r>
        <w:t xml:space="preserve">Select Request a Configuration Change to create a new change request.</w:t>
      </w:r>
    </w:p>
    <w:p>
      <w:pPr>
        <w:numPr>
          <w:ilvl w:val="0"/>
          <w:numId w:val="1045"/>
        </w:numPr>
      </w:pPr>
      <w:r>
        <w:t xml:space="preserve">Select the asset associated with this change from Devices application.</w:t>
      </w:r>
    </w:p>
    <w:p>
      <w:pPr>
        <w:numPr>
          <w:ilvl w:val="0"/>
          <w:numId w:val="1045"/>
        </w:numPr>
      </w:pPr>
      <w:r>
        <w:t xml:space="preserve">After selection of related record from the Devices application, Click Apply. Fill in the preliminary details for the change request. These include:</w:t>
      </w:r>
    </w:p>
    <w:p>
      <w:pPr>
        <w:numPr>
          <w:ilvl w:val="1"/>
          <w:numId w:val="1046"/>
        </w:numPr>
      </w:pPr>
      <w:r>
        <w:t xml:space="preserve">Title - A unique and descriptive title for your change request</w:t>
      </w:r>
    </w:p>
    <w:p>
      <w:pPr>
        <w:numPr>
          <w:ilvl w:val="1"/>
          <w:numId w:val="1046"/>
        </w:numPr>
      </w:pPr>
      <w:r>
        <w:t xml:space="preserve">Change Type - Access/Role Change, Add or Remove Software, Change or Update Firmware, Decommission Cyber Assets, Firmware update, Modify Local Device Access, New Cyber Asset(s) or Remove Software/Firmware</w:t>
      </w:r>
    </w:p>
    <w:p>
      <w:pPr>
        <w:numPr>
          <w:ilvl w:val="1"/>
          <w:numId w:val="1046"/>
        </w:numPr>
      </w:pPr>
      <w:r>
        <w:t xml:space="preserve">Description of Change - Detailed Description of the change request</w:t>
      </w:r>
    </w:p>
    <w:p>
      <w:pPr>
        <w:numPr>
          <w:ilvl w:val="1"/>
          <w:numId w:val="1046"/>
        </w:numPr>
      </w:pPr>
      <w:r>
        <w:t xml:space="preserve">Justification - Justification for why the change is occurring</w:t>
      </w:r>
    </w:p>
    <w:p>
      <w:pPr>
        <w:numPr>
          <w:ilvl w:val="1"/>
          <w:numId w:val="1046"/>
        </w:numPr>
      </w:pPr>
      <w:r>
        <w:t xml:space="preserve">Date - Due - Date by which the change needs to be implemented</w:t>
      </w:r>
      <w:r>
        <w:br/>
      </w:r>
    </w:p>
    <w:p>
      <w:pPr>
        <w:numPr>
          <w:ilvl w:val="0"/>
          <w:numId w:val="1047"/>
        </w:numPr>
      </w:pPr>
      <w:r>
        <w:t xml:space="preserve">Under the Workflow Details section, please select the:</w:t>
      </w:r>
    </w:p>
    <w:p>
      <w:pPr>
        <w:numPr>
          <w:ilvl w:val="1"/>
          <w:numId w:val="1048"/>
        </w:numPr>
      </w:pPr>
      <w:r>
        <w:t xml:space="preserve">Requester - Defaults to current user</w:t>
      </w:r>
    </w:p>
    <w:p>
      <w:pPr>
        <w:numPr>
          <w:ilvl w:val="1"/>
          <w:numId w:val="1048"/>
        </w:numPr>
      </w:pPr>
      <w:r>
        <w:t xml:space="preserve">Approver - Person responsible for approving the change request</w:t>
      </w:r>
    </w:p>
    <w:p>
      <w:pPr>
        <w:numPr>
          <w:ilvl w:val="1"/>
          <w:numId w:val="1048"/>
        </w:numPr>
      </w:pPr>
      <w:r>
        <w:t xml:space="preserve">Implementer - Person responsible for implementing the change</w:t>
      </w:r>
    </w:p>
    <w:p>
      <w:pPr>
        <w:numPr>
          <w:ilvl w:val="1"/>
          <w:numId w:val="1048"/>
        </w:numPr>
      </w:pPr>
      <w:r>
        <w:t xml:space="preserve">Compliance Reviewer - Person responsible for the compliance review once the change has been implemented</w:t>
      </w:r>
      <w:r>
        <w:br/>
      </w:r>
    </w:p>
    <w:p>
      <w:pPr>
        <w:numPr>
          <w:ilvl w:val="0"/>
          <w:numId w:val="1049"/>
        </w:numPr>
      </w:pPr>
      <w:r>
        <w:t xml:space="preserve">In the Change Details section, detail the Implementation Plan and the Backout Plan.</w:t>
      </w:r>
    </w:p>
    <w:p>
      <w:pPr>
        <w:numPr>
          <w:ilvl w:val="0"/>
          <w:numId w:val="1049"/>
        </w:numPr>
      </w:pPr>
      <w:r>
        <w:t xml:space="preserve">Once you are satisfied with the details of the change request, you may begin the pre-change evaluation. Save the record and then select the Evaluate action button at the top of the page</w:t>
      </w:r>
    </w:p>
    <w:p>
      <w:pPr>
        <w:numPr>
          <w:ilvl w:val="0"/>
          <w:numId w:val="1049"/>
        </w:numPr>
      </w:pPr>
      <w:r>
        <w:t xml:space="preserve">A new tab displayed on the change request, called Pre-Change Evaluation Questions. On the Pre-Change Evaluation Questions tab, there are 12 evaluation questions that must be answered, after responding yes/no to each question you must also briefly explain the rationale for the answer.</w:t>
      </w:r>
    </w:p>
    <w:p>
      <w:pPr>
        <w:numPr>
          <w:ilvl w:val="0"/>
          <w:numId w:val="1049"/>
        </w:numPr>
      </w:pPr>
      <w:r>
        <w:t xml:space="preserve">Once the Pre-Change Evaluation questions have been completed, complete the Evaluation Results section. Check the Evaluation Complete? Checkbox, as well as a short description of your evaluation process and any evaluation comments if necessary.</w:t>
      </w:r>
    </w:p>
    <w:p>
      <w:pPr>
        <w:numPr>
          <w:ilvl w:val="0"/>
          <w:numId w:val="1049"/>
        </w:numPr>
      </w:pPr>
      <w:r>
        <w:t xml:space="preserve">Once the evaluation is completed, submit the record by selecting “Submit for Review” from the Action dropdown.</w:t>
      </w:r>
    </w:p>
    <w:bookmarkEnd w:id="107"/>
    <w:bookmarkStart w:id="108" w:name="Xf511c273e6ecbba8855a279d9efeaf5be48849d"/>
    <w:p>
      <w:pPr>
        <w:pStyle w:val="Heading4"/>
      </w:pPr>
      <w:r>
        <w:t xml:space="preserve">Task 2: Review &amp; Approve Change Management Request</w:t>
      </w:r>
    </w:p>
    <w:p>
      <w:pPr>
        <w:pStyle w:val="FirstParagraph"/>
      </w:pPr>
      <w:r>
        <w:rPr>
          <w:b/>
          <w:bCs/>
        </w:rPr>
        <w:t xml:space="preserve">User Persona:</w:t>
      </w:r>
      <w:r>
        <w:t xml:space="preserve"> </w:t>
      </w:r>
      <w:r>
        <w:t xml:space="preserve">Approver</w:t>
      </w:r>
    </w:p>
    <w:p>
      <w:pPr>
        <w:numPr>
          <w:ilvl w:val="0"/>
          <w:numId w:val="1050"/>
        </w:numPr>
      </w:pPr>
      <w:r>
        <w:t xml:space="preserve">The Approver will receive an email letting them know a change request has been submitted for review. The approver will see a read-only copy of the evaluation, and will decide to Approve, Return or Deny the change request. They can also add a comment in the comments sub-form at the bottom of the page.</w:t>
      </w:r>
    </w:p>
    <w:p>
      <w:pPr>
        <w:numPr>
          <w:ilvl w:val="1"/>
          <w:numId w:val="1051"/>
        </w:numPr>
      </w:pPr>
      <w:r>
        <w:t xml:space="preserve">Approve - The change is approved and the record advances to the implementation stage.</w:t>
      </w:r>
    </w:p>
    <w:p>
      <w:pPr>
        <w:numPr>
          <w:ilvl w:val="1"/>
          <w:numId w:val="1051"/>
        </w:numPr>
      </w:pPr>
      <w:r>
        <w:t xml:space="preserve">Return - The change requires more details to continue and is returned to the requester to re-submit.</w:t>
      </w:r>
    </w:p>
    <w:p>
      <w:pPr>
        <w:numPr>
          <w:ilvl w:val="1"/>
          <w:numId w:val="1051"/>
        </w:numPr>
      </w:pPr>
      <w:r>
        <w:t xml:space="preserve">Deny - The request is denied and cannot be re-submitted. This will close the record.</w:t>
      </w:r>
    </w:p>
    <w:bookmarkEnd w:id="108"/>
    <w:bookmarkStart w:id="109" w:name="Task3DocumentImplementationResults"/>
    <w:p>
      <w:pPr>
        <w:pStyle w:val="Heading4"/>
      </w:pPr>
      <w:r>
        <w:t xml:space="preserve">Task 3: Document Implementation Results</w:t>
      </w:r>
    </w:p>
    <w:p>
      <w:pPr>
        <w:pStyle w:val="FirstParagraph"/>
      </w:pPr>
      <w:r>
        <w:rPr>
          <w:b/>
          <w:bCs/>
        </w:rPr>
        <w:t xml:space="preserve">User Persona:</w:t>
      </w:r>
      <w:r>
        <w:t xml:space="preserve"> </w:t>
      </w:r>
      <w:r>
        <w:t xml:space="preserve">Implementer</w:t>
      </w:r>
    </w:p>
    <w:p>
      <w:pPr>
        <w:numPr>
          <w:ilvl w:val="0"/>
          <w:numId w:val="1052"/>
        </w:numPr>
      </w:pPr>
      <w:r>
        <w:t xml:space="preserve">The Implementer will receive a notification that the request has been approved and can begin to implement the change. The implementer will document the details of the implementation and add evidence on the Implementation Notes tab. If there are any Unexpected Changes, they will be required to document the change and whether the deviance from the baseline was acceptable.</w:t>
      </w:r>
    </w:p>
    <w:p>
      <w:pPr>
        <w:numPr>
          <w:ilvl w:val="0"/>
          <w:numId w:val="1052"/>
        </w:numPr>
      </w:pPr>
      <w:r>
        <w:t xml:space="preserve">Once the implementation is completed without any unacceptable consequences, they can mark the Implementation Complete using the actions button.</w:t>
      </w:r>
    </w:p>
    <w:bookmarkEnd w:id="109"/>
    <w:bookmarkStart w:id="110" w:name="Task4CompletingtheChangeRequest"/>
    <w:p>
      <w:pPr>
        <w:pStyle w:val="Heading4"/>
      </w:pPr>
      <w:r>
        <w:t xml:space="preserve">Task 4: Completing the Change Request</w:t>
      </w:r>
    </w:p>
    <w:p>
      <w:pPr>
        <w:pStyle w:val="FirstParagraph"/>
      </w:pPr>
      <w:r>
        <w:rPr>
          <w:b/>
          <w:bCs/>
        </w:rPr>
        <w:t xml:space="preserve">User Persona:</w:t>
      </w:r>
      <w:r>
        <w:t xml:space="preserve"> </w:t>
      </w:r>
      <w:r>
        <w:t xml:space="preserve">NERC Compliance Reviewer</w:t>
      </w:r>
    </w:p>
    <w:p>
      <w:pPr>
        <w:numPr>
          <w:ilvl w:val="0"/>
          <w:numId w:val="1053"/>
        </w:numPr>
      </w:pPr>
      <w:r>
        <w:t xml:space="preserve">The Compliance Reviewer will receive an email notification telling them the implementation has been completed. The Compliance Reviewer can review the details from the previous stages and then complete the Post-Change Evaluation Questions.</w:t>
      </w:r>
    </w:p>
    <w:p>
      <w:pPr>
        <w:numPr>
          <w:ilvl w:val="0"/>
          <w:numId w:val="1053"/>
        </w:numPr>
      </w:pPr>
      <w:r>
        <w:t xml:space="preserve">After completing the post-change evaluation, the compliance reviewer will determine whether the changes were successfully implemented. If the changes were not implemented successfully, they will have the option to Return to Implementer.</w:t>
      </w:r>
    </w:p>
    <w:p>
      <w:pPr>
        <w:numPr>
          <w:ilvl w:val="0"/>
          <w:numId w:val="1053"/>
        </w:numPr>
      </w:pPr>
      <w:r>
        <w:t xml:space="preserve">If the Compliance Reviewer determines that all changes have been implemented and baselines have been updated, they can Complete the record. This will signal that the change has been successfully implemented without issue, and the change request record will be closed. The record will now remain in a read-only format and can no longer be modified.</w:t>
      </w:r>
    </w:p>
    <w:bookmarkEnd w:id="110"/>
    <w:bookmarkEnd w:id="111"/>
    <w:bookmarkStart w:id="119" w:name="Xe0e4d5fb9d3a02b624f63f7d6a73fe570334970"/>
    <w:p>
      <w:pPr>
        <w:pStyle w:val="Heading3"/>
      </w:pPr>
      <w:r>
        <w:t xml:space="preserve">NATF Energy Sector Supply Chain Risk Questionnaire V5</w:t>
      </w:r>
    </w:p>
    <w:bookmarkStart w:id="112" w:name="Task1LaunchaNewQuestionnaireRecord"/>
    <w:p>
      <w:pPr>
        <w:pStyle w:val="Heading4"/>
      </w:pPr>
      <w:r>
        <w:t xml:space="preserve">Task 1: Launch a New Questionnaire Record</w:t>
      </w:r>
    </w:p>
    <w:p>
      <w:pPr>
        <w:pStyle w:val="FirstParagraph"/>
      </w:pPr>
      <w:r>
        <w:rPr>
          <w:b/>
          <w:bCs/>
        </w:rPr>
        <w:t xml:space="preserve">User Persona:</w:t>
      </w:r>
      <w:r>
        <w:t xml:space="preserve"> </w:t>
      </w:r>
      <w:r>
        <w:t xml:space="preserve">NERC - SME</w:t>
      </w:r>
    </w:p>
    <w:p>
      <w:pPr>
        <w:numPr>
          <w:ilvl w:val="0"/>
          <w:numId w:val="1054"/>
        </w:numPr>
      </w:pPr>
      <w:r>
        <w:t xml:space="preserve">Navigate to the NATF Energy Sector Supply Chaing Risk Questionnaire V5 under the NERC CIP Management solution in your left-hand navigation.</w:t>
      </w:r>
    </w:p>
    <w:p>
      <w:pPr>
        <w:numPr>
          <w:ilvl w:val="0"/>
          <w:numId w:val="1054"/>
        </w:numPr>
      </w:pPr>
      <w:r>
        <w:t xml:space="preserve">Click the selection icon […] next to the questionnaire name.</w:t>
      </w:r>
    </w:p>
    <w:p>
      <w:pPr>
        <w:numPr>
          <w:ilvl w:val="0"/>
          <w:numId w:val="1054"/>
        </w:numPr>
      </w:pPr>
      <w:r>
        <w:t xml:space="preserve">Select “Create New Record.” The Add New Record screen appears.</w:t>
      </w:r>
    </w:p>
    <w:p>
      <w:pPr>
        <w:numPr>
          <w:ilvl w:val="0"/>
          <w:numId w:val="1054"/>
        </w:numPr>
      </w:pPr>
      <w:r>
        <w:t xml:space="preserve">Click the selection icon and browse to find the Third Party Profile record you want to assess.</w:t>
      </w:r>
    </w:p>
    <w:p>
      <w:pPr>
        <w:numPr>
          <w:ilvl w:val="0"/>
          <w:numId w:val="1054"/>
        </w:numPr>
      </w:pPr>
      <w:r>
        <w:t xml:space="preserve">Select the record and then click OK at the bottom of the page.</w:t>
      </w:r>
    </w:p>
    <w:p>
      <w:pPr>
        <w:numPr>
          <w:ilvl w:val="0"/>
          <w:numId w:val="1054"/>
        </w:numPr>
      </w:pPr>
      <w:r>
        <w:t xml:space="preserve">Click Apply. A new questionnaire record will generate.</w:t>
      </w:r>
    </w:p>
    <w:p>
      <w:pPr>
        <w:numPr>
          <w:ilvl w:val="0"/>
          <w:numId w:val="1054"/>
        </w:numPr>
      </w:pPr>
      <w:r>
        <w:t xml:space="preserve">Enter the name of the Supplier Business Manager and Reviewer.</w:t>
      </w:r>
    </w:p>
    <w:p>
      <w:pPr>
        <w:numPr>
          <w:ilvl w:val="0"/>
          <w:numId w:val="1054"/>
        </w:numPr>
      </w:pPr>
      <w:r>
        <w:t xml:space="preserve">Populate answers to the General (GNRL) questions and then select what types of information the supplier will be engaging with and the other types of information (TOI) fields.</w:t>
      </w:r>
    </w:p>
    <w:p>
      <w:pPr>
        <w:numPr>
          <w:ilvl w:val="0"/>
          <w:numId w:val="1054"/>
        </w:numPr>
      </w:pPr>
      <w:r>
        <w:t xml:space="preserve">At the top of the page, click Initiate.</w:t>
      </w:r>
    </w:p>
    <w:bookmarkEnd w:id="112"/>
    <w:bookmarkStart w:id="113" w:name="Task2ObtainSupplierResponses"/>
    <w:p>
      <w:pPr>
        <w:pStyle w:val="Heading4"/>
      </w:pPr>
      <w:r>
        <w:t xml:space="preserve">Task 2: Obtain Supplier Responses</w:t>
      </w:r>
    </w:p>
    <w:p>
      <w:pPr>
        <w:pStyle w:val="FirstParagraph"/>
      </w:pPr>
      <w:r>
        <w:rPr>
          <w:b/>
          <w:bCs/>
        </w:rPr>
        <w:t xml:space="preserve">User Persona</w:t>
      </w:r>
      <w:r>
        <w:t xml:space="preserve">: NERC Compliance Operator</w:t>
      </w:r>
    </w:p>
    <w:p>
      <w:pPr>
        <w:numPr>
          <w:ilvl w:val="0"/>
          <w:numId w:val="1055"/>
        </w:numPr>
      </w:pPr>
      <w:r>
        <w:t xml:space="preserve">In partnership with you supplier contact answer all relevant questions across the following tabs:</w:t>
      </w:r>
    </w:p>
    <w:p>
      <w:pPr>
        <w:numPr>
          <w:ilvl w:val="1"/>
          <w:numId w:val="1056"/>
        </w:numPr>
      </w:pPr>
      <w:r>
        <w:t xml:space="preserve">Supplier Corporate Systems</w:t>
      </w:r>
    </w:p>
    <w:p>
      <w:pPr>
        <w:numPr>
          <w:ilvl w:val="1"/>
          <w:numId w:val="1056"/>
        </w:numPr>
      </w:pPr>
      <w:r>
        <w:t xml:space="preserve">Supplier Product</w:t>
      </w:r>
    </w:p>
    <w:p>
      <w:pPr>
        <w:numPr>
          <w:ilvl w:val="1"/>
          <w:numId w:val="1056"/>
        </w:numPr>
      </w:pPr>
      <w:r>
        <w:t xml:space="preserve">Product Development Systems</w:t>
      </w:r>
    </w:p>
    <w:p>
      <w:pPr>
        <w:numPr>
          <w:ilvl w:val="0"/>
          <w:numId w:val="1057"/>
        </w:numPr>
      </w:pPr>
      <w:r>
        <w:t xml:space="preserve">Once all answers have been entered, click the Actions button at the top of the page and select, “Submit for Review.” The responses will be sent to the listed Reviewer to be assessed. The Reviewer will be sent an email notification, notifying the individual of a new record that needs review.</w:t>
      </w:r>
    </w:p>
    <w:p>
      <w:pPr>
        <w:numPr>
          <w:ilvl w:val="0"/>
          <w:numId w:val="1000"/>
        </w:numPr>
      </w:pPr>
      <w:r>
        <w:t xml:space="preserve">Clients that have licensed Archer Engage can submit these questions directly to the supplier so that those organizations self-submit responses into the Archer Engage portal. For information on how to optimize this questionnaire through Archer Engage, please contact Karta.</w:t>
      </w:r>
    </w:p>
    <w:p>
      <w:pPr>
        <w:numPr>
          <w:ilvl w:val="0"/>
          <w:numId w:val="1000"/>
        </w:numPr>
      </w:pPr>
      <w:r>
        <w:t xml:space="preserve">For clients without Engage, you will need to submit answers on the supplier’s behalf – either through manual entry or by capturing answers through a spreadsheet and then using Archer’s Data import feature to load the responses.</w:t>
      </w:r>
    </w:p>
    <w:bookmarkEnd w:id="113"/>
    <w:bookmarkStart w:id="117" w:name="Task3ObtainSupplierResponses"/>
    <w:p>
      <w:pPr>
        <w:pStyle w:val="Heading4"/>
      </w:pPr>
      <w:r>
        <w:t xml:space="preserve">Task 3: Obtain Supplier Responses</w:t>
      </w:r>
    </w:p>
    <w:p>
      <w:pPr>
        <w:pStyle w:val="FirstParagraph"/>
      </w:pPr>
      <w:r>
        <w:rPr>
          <w:b/>
          <w:bCs/>
        </w:rPr>
        <w:t xml:space="preserve">User Persona:</w:t>
      </w:r>
      <w:r>
        <w:t xml:space="preserve"> </w:t>
      </w:r>
      <w:r>
        <w:t xml:space="preserve">NERC Compliance Manager</w:t>
      </w:r>
    </w:p>
    <w:p>
      <w:pPr>
        <w:numPr>
          <w:ilvl w:val="0"/>
          <w:numId w:val="1058"/>
        </w:numPr>
      </w:pPr>
      <w:r>
        <w:t xml:space="preserve">Open the email notification you received regarding the completed Supply Chain Risk Questionnaire.</w:t>
      </w:r>
    </w:p>
    <w:p>
      <w:pPr>
        <w:numPr>
          <w:ilvl w:val="0"/>
          <w:numId w:val="1058"/>
        </w:numPr>
      </w:pPr>
      <w:r>
        <w:t xml:space="preserve">Click the link for the Questionnaire ID.</w:t>
      </w:r>
    </w:p>
    <w:p>
      <w:pPr>
        <w:numPr>
          <w:ilvl w:val="0"/>
          <w:numId w:val="1058"/>
        </w:numPr>
      </w:pPr>
      <w:r>
        <w:t xml:space="preserve">Log in to Archer (if your organization does not have SSO enabled or you aren’t already logged in.) You will be taken directly to the questionnaire.</w:t>
      </w:r>
    </w:p>
    <w:p>
      <w:pPr>
        <w:numPr>
          <w:ilvl w:val="0"/>
          <w:numId w:val="1058"/>
        </w:numPr>
      </w:pPr>
      <w:r>
        <w:t xml:space="preserve">Click Edit at the top of the page.</w:t>
      </w:r>
    </w:p>
    <w:p>
      <w:pPr>
        <w:numPr>
          <w:ilvl w:val="0"/>
          <w:numId w:val="1058"/>
        </w:numPr>
      </w:pPr>
      <w:r>
        <w:t xml:space="preserve">Review the responses.</w:t>
      </w:r>
    </w:p>
    <w:p>
      <w:pPr>
        <w:numPr>
          <w:ilvl w:val="0"/>
          <w:numId w:val="1058"/>
        </w:numPr>
      </w:pPr>
      <w:r>
        <w:t xml:space="preserve">If there are issues with any responses, notate the issues in the yellow, comments icon to right of the question.</w:t>
      </w:r>
    </w:p>
    <w:p>
      <w:pPr>
        <w:numPr>
          <w:ilvl w:val="0"/>
          <w:numId w:val="1058"/>
        </w:numPr>
      </w:pPr>
      <w:r>
        <w:t xml:space="preserve">Enter your comment and then click Save and Close. When you return to the question layout, the yellow note icon next to the question will display as filled out, as shown in the following image.</w:t>
      </w:r>
    </w:p>
    <w:p>
      <w:pPr>
        <w:pStyle w:val="FirstParagraph"/>
      </w:pPr>
      <w:r>
        <w:drawing>
          <wp:inline>
            <wp:extent cx="5334000" cy="605890"/>
            <wp:effectExtent b="0" l="0" r="0" t="0"/>
            <wp:docPr descr="" title="" id="115" name="Picture"/>
            <a:graphic>
              <a:graphicData uri="http://schemas.openxmlformats.org/drawingml/2006/picture">
                <pic:pic>
                  <pic:nvPicPr>
                    <pic:cNvPr descr="C:/Users/User/HelpArcher-to-pdf/HelpArcher-to-pdf-1/images/ff649fb4c787d987f5626dd9ee06daa5.png" id="116" name="Picture"/>
                    <pic:cNvPicPr>
                      <a:picLocks noChangeArrowheads="1" noChangeAspect="1"/>
                    </pic:cNvPicPr>
                  </pic:nvPicPr>
                  <pic:blipFill>
                    <a:blip r:embed="rId114"/>
                    <a:stretch>
                      <a:fillRect/>
                    </a:stretch>
                  </pic:blipFill>
                  <pic:spPr bwMode="auto">
                    <a:xfrm>
                      <a:off x="0" y="0"/>
                      <a:ext cx="5334000" cy="605890"/>
                    </a:xfrm>
                    <a:prstGeom prst="rect">
                      <a:avLst/>
                    </a:prstGeom>
                    <a:noFill/>
                    <a:ln w="9525">
                      <a:noFill/>
                      <a:headEnd/>
                      <a:tailEnd/>
                    </a:ln>
                  </pic:spPr>
                </pic:pic>
              </a:graphicData>
            </a:graphic>
          </wp:inline>
        </w:drawing>
      </w:r>
    </w:p>
    <w:p>
      <w:pPr>
        <w:numPr>
          <w:ilvl w:val="0"/>
          <w:numId w:val="1059"/>
        </w:numPr>
      </w:pPr>
      <w:r>
        <w:t xml:space="preserve">If, at any point, you need to send one or more comments back to the Supplier Manager for additional insights or to open a conversation with the supplier, click the Actions button at the top of the page and select, “Return for Edits.” This will send the record back to the submitter and sent that individual an email notification.</w:t>
      </w:r>
    </w:p>
    <w:bookmarkEnd w:id="117"/>
    <w:bookmarkStart w:id="118" w:name="Task4ApproveandClosetheQuestionnaire"/>
    <w:p>
      <w:pPr>
        <w:pStyle w:val="Heading4"/>
      </w:pPr>
      <w:r>
        <w:t xml:space="preserve">Task 4: Approve and Close the Questionnaire</w:t>
      </w:r>
    </w:p>
    <w:p>
      <w:pPr>
        <w:pStyle w:val="FirstParagraph"/>
      </w:pPr>
      <w:r>
        <w:rPr>
          <w:b/>
          <w:bCs/>
        </w:rPr>
        <w:t xml:space="preserve">User Persona:</w:t>
      </w:r>
      <w:r>
        <w:t xml:space="preserve"> </w:t>
      </w:r>
      <w:r>
        <w:t xml:space="preserve">NERC - Manager</w:t>
      </w:r>
    </w:p>
    <w:p>
      <w:pPr>
        <w:pStyle w:val="BodyText"/>
      </w:pPr>
      <w:r>
        <w:t xml:space="preserve">There may be a back and forth between Task 3 and Task 4 as parties work to resolve issues/questions/and content within the questionnaire. Once the record is in the Reviewer stage and all issues are resolved, the Review can select, “Approve and Close”, from the Action dropdown. This action concludes the workflow process and closes the questionnaire.</w:t>
      </w:r>
    </w:p>
    <w:bookmarkEnd w:id="118"/>
    <w:bookmarkEnd w:id="119"/>
    <w:bookmarkEnd w:id="120"/>
    <w:bookmarkStart w:id="121" w:name="Certificationenvironment"/>
    <w:p>
      <w:pPr>
        <w:pStyle w:val="Heading2"/>
      </w:pPr>
      <w:r>
        <w:t xml:space="preserve">Certification environment</w:t>
      </w:r>
    </w:p>
    <w:p>
      <w:pPr>
        <w:pStyle w:val="FirstParagraph"/>
      </w:pPr>
      <w:r>
        <w:t xml:space="preserve">Date tested: November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2024.09 (6.15.302.10262)</w:t>
            </w:r>
          </w:p>
        </w:tc>
        <w:tc>
          <w:tcPr/>
          <w:p>
            <w:pPr>
              <w:pStyle w:val="BodyText"/>
            </w:pPr>
            <w:r>
              <w:t xml:space="preserve">Virtual Appliance</w:t>
            </w:r>
          </w:p>
        </w:tc>
      </w:tr>
    </w:tbl>
    <w:bookmarkEnd w:id="121"/>
    <w:bookmarkEnd w:id="122"/>
    <w:bookmarkEnd w:id="1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1"/>
  </w:num>
  <w:num w:numId="102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8">
    <w:abstractNumId w:val="991"/>
  </w:num>
  <w:num w:numId="1049">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7" Target="media/rId37.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73" Target="media/rId73.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114" Target="media/rId114.png" /><Relationship Type="http://schemas.openxmlformats.org/officeDocument/2006/relationships/hyperlink" Id="rId20" Target="https://archerirm.exchange/en-US/apps/420511/karta-nerc-compliance-management" TargetMode="External" /><Relationship Type="http://schemas.openxmlformats.org/officeDocument/2006/relationships/hyperlink" Id="rId54" Target="https://help.archerirm.cloud/platform_613/en-us/content/platform/packages/pkg_basics.htm" TargetMode="External" /><Relationship Type="http://schemas.openxmlformats.org/officeDocument/2006/relationships/hyperlink" Id="rId82" Target="https://help.archerirm.cloud/platform_613/en-us/content/platform/packages/pkg_parent_child_mapping.htm" TargetMode="External" /><Relationship Type="http://schemas.openxmlformats.org/officeDocument/2006/relationships/hyperlink" Id="rId30" Target="https://www.cer-rec.gc.ca/en/" TargetMode="External" /><Relationship Type="http://schemas.openxmlformats.org/officeDocument/2006/relationships/hyperlink" Id="rId28" Target="https://www.ferc.gov/" TargetMode="External" /><Relationship Type="http://schemas.openxmlformats.org/officeDocument/2006/relationships/hyperlink" Id="rId29" Target="https://www.natf.net/industry-initiatives/supply-chain-industry-coordination" TargetMode="External" /><Relationship Type="http://schemas.openxmlformats.org/officeDocument/2006/relationships/hyperlink" Id="rId26" Target="https://www.nerc.com" TargetMode="External" /><Relationship Type="http://schemas.openxmlformats.org/officeDocument/2006/relationships/hyperlink" Id="rId27" Target="https://www.nerc.com/pa/Stand/Reliability%20Standards%20Complete%20Set/RSCompleteSet.pdf" TargetMode="External" /><Relationship Type="http://schemas.openxmlformats.org/officeDocument/2006/relationships/hyperlink" Id="rId105" Target="https://www.nerc.com/pa/comp/CAOneStopShop/CIP%20Evidence%20Request%20Tool%20User%20Guide%20v8.pdf" TargetMode="External" /></Relationships>
</file>

<file path=word/_rels/footnotes.xml.rels><?xml version="1.0" encoding="UTF-8"?><Relationships xmlns="http://schemas.openxmlformats.org/package/2006/relationships"><Relationship Type="http://schemas.openxmlformats.org/officeDocument/2006/relationships/hyperlink" Id="rId20" Target="https://archerirm.exchange/en-US/apps/420511/karta-nerc-compliance-management" TargetMode="External" /><Relationship Type="http://schemas.openxmlformats.org/officeDocument/2006/relationships/hyperlink" Id="rId54" Target="https://help.archerirm.cloud/platform_613/en-us/content/platform/packages/pkg_basics.htm" TargetMode="External" /><Relationship Type="http://schemas.openxmlformats.org/officeDocument/2006/relationships/hyperlink" Id="rId82" Target="https://help.archerirm.cloud/platform_613/en-us/content/platform/packages/pkg_parent_child_mapping.htm" TargetMode="External" /><Relationship Type="http://schemas.openxmlformats.org/officeDocument/2006/relationships/hyperlink" Id="rId30" Target="https://www.cer-rec.gc.ca/en/" TargetMode="External" /><Relationship Type="http://schemas.openxmlformats.org/officeDocument/2006/relationships/hyperlink" Id="rId28" Target="https://www.ferc.gov/" TargetMode="External" /><Relationship Type="http://schemas.openxmlformats.org/officeDocument/2006/relationships/hyperlink" Id="rId29" Target="https://www.natf.net/industry-initiatives/supply-chain-industry-coordination" TargetMode="External" /><Relationship Type="http://schemas.openxmlformats.org/officeDocument/2006/relationships/hyperlink" Id="rId26" Target="https://www.nerc.com" TargetMode="External" /><Relationship Type="http://schemas.openxmlformats.org/officeDocument/2006/relationships/hyperlink" Id="rId27" Target="https://www.nerc.com/pa/Stand/Reliability%20Standards%20Complete%20Set/RSCompleteSet.pdf" TargetMode="External" /><Relationship Type="http://schemas.openxmlformats.org/officeDocument/2006/relationships/hyperlink" Id="rId105" Target="https://www.nerc.com/pa/comp/CAOneStopShop/CIP%20Evidence%20Request%20Tool%20User%20Guide%20v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2025-03-24T15:44:40Z</dcterms:created>
  <dcterms:modified xsi:type="dcterms:W3CDTF">2025-03-24T15:44:40Z</dcterms:modified>
</cp:coreProperties>
</file>

<file path=docProps/custom.xml><?xml version="1.0" encoding="utf-8"?>
<Properties xmlns="http://schemas.openxmlformats.org/officeDocument/2006/custom-properties" xmlns:vt="http://schemas.openxmlformats.org/officeDocument/2006/docPropsVTypes"/>
</file>