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77.png" ContentType="image/png"/>
  <Override PartName="/word/media/rId57.png" ContentType="image/png"/>
  <Override PartName="/word/media/rId65.png" ContentType="image/png"/>
  <Override PartName="/word/media/rId68.png" ContentType="image/png"/>
  <Override PartName="/word/media/rId26.png" ContentType="image/png"/>
  <Override PartName="/word/media/rId62.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1" w:name="mc-main-content"/>
    <w:bookmarkStart w:id="90" w:name="hcl-tax-risk-management-1"/>
    <w:p>
      <w:pPr>
        <w:pStyle w:val="Heading1"/>
      </w:pPr>
      <w:r>
        <w:t xml:space="preserve">HCL Tax Risk Management</w:t>
      </w:r>
    </w:p>
    <w:p>
      <w:pPr>
        <w:pStyle w:val="FirstParagraph"/>
      </w:pPr>
      <w:r>
        <w:t xml:space="preserve">With increased focus in the area of tax among different authorities around the world, compliance and an accurate tax reporting mechanism are key measures for success of any organization’s financial risk management program. Organizations with global operations running across multiple business lines need to devise more effective ways of consolidating and analyzing tax-related risks reported in multiple currencies.</w:t>
      </w:r>
    </w:p>
    <w:p>
      <w:pPr>
        <w:pStyle w:val="BodyText"/>
      </w:pPr>
      <w:r>
        <w:t xml:space="preserve">The Tax Risk Management app-pack developed by HCL provides a systematic and automated way to perform tax risk reporting and analysis for managing tax obligations effectively and minimize adverse impacts on reputation, income statements, and profitability.</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ofHCLTaxRiskManagementAppPack">
        <w:r>
          <w:rPr>
            <w:rStyle w:val="Hyperlink"/>
          </w:rPr>
          <w:t xml:space="preserve">Overview of HCL Tax Risk Management App-Pack</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AppPackrequirements">
        <w:r>
          <w:rPr>
            <w:rStyle w:val="Hyperlink"/>
          </w:rPr>
          <w:t xml:space="preserve">Prerequisites (ODA and App-Pack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HCLTaxRiskAppPackcomponents">
        <w:r>
          <w:rPr>
            <w:rStyle w:val="Hyperlink"/>
          </w:rPr>
          <w:t xml:space="preserve">HCL Tax Risk App-Pack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UsingHCLTaxRiskManagementAppPack">
        <w:r>
          <w:rPr>
            <w:rStyle w:val="Hyperlink"/>
          </w:rPr>
          <w:t xml:space="preserve">Using HCL Tax Risk Management App-Pack</w:t>
        </w:r>
      </w:hyperlink>
    </w:p>
    <w:p>
      <w:pPr>
        <w:pStyle w:val="Compact"/>
        <w:numPr>
          <w:ilvl w:val="1"/>
          <w:numId w:val="1005"/>
        </w:numPr>
      </w:pPr>
      <w:hyperlink w:anchor="Task1Assessmentinitiation">
        <w:r>
          <w:rPr>
            <w:rStyle w:val="Hyperlink"/>
          </w:rPr>
          <w:t xml:space="preserve">Task 1: Assessment initiation</w:t>
        </w:r>
      </w:hyperlink>
    </w:p>
    <w:p>
      <w:pPr>
        <w:pStyle w:val="Compact"/>
        <w:numPr>
          <w:ilvl w:val="1"/>
          <w:numId w:val="1005"/>
        </w:numPr>
      </w:pPr>
      <w:hyperlink w:anchor="Task2Assessmentresponse">
        <w:r>
          <w:rPr>
            <w:rStyle w:val="Hyperlink"/>
          </w:rPr>
          <w:t xml:space="preserve">Task 2: Assessment response</w:t>
        </w:r>
      </w:hyperlink>
    </w:p>
    <w:p>
      <w:pPr>
        <w:pStyle w:val="Compact"/>
        <w:numPr>
          <w:ilvl w:val="1"/>
          <w:numId w:val="1005"/>
        </w:numPr>
      </w:pPr>
      <w:hyperlink w:anchor="Task3Assessmentreviewandanalysis">
        <w:r>
          <w:rPr>
            <w:rStyle w:val="Hyperlink"/>
          </w:rPr>
          <w:t xml:space="preserve">Task 3: Assessment review and analysis</w:t>
        </w:r>
      </w:hyperlink>
    </w:p>
    <w:p>
      <w:pPr>
        <w:pStyle w:val="Compact"/>
        <w:numPr>
          <w:ilvl w:val="1"/>
          <w:numId w:val="1005"/>
        </w:numPr>
      </w:pPr>
      <w:hyperlink w:anchor="Task4Assessmentclosureandriskreporting">
        <w:r>
          <w:rPr>
            <w:rStyle w:val="Hyperlink"/>
          </w:rPr>
          <w:t xml:space="preserve">Task 4: Assessment closure and risk reporting</w:t>
        </w:r>
      </w:hyperlink>
    </w:p>
    <w:p>
      <w:pPr>
        <w:pStyle w:val="Compact"/>
        <w:numPr>
          <w:ilvl w:val="0"/>
          <w:numId w:val="1001"/>
        </w:numPr>
      </w:pPr>
      <w:hyperlink w:anchor="InstallingHCLTaxRiskAppPack">
        <w:r>
          <w:rPr>
            <w:rStyle w:val="Hyperlink"/>
          </w:rPr>
          <w:t xml:space="preserve">Installing HCL Tax Risk App-Pack</w:t>
        </w:r>
      </w:hyperlink>
    </w:p>
    <w:p>
      <w:pPr>
        <w:pStyle w:val="Compact"/>
        <w:numPr>
          <w:ilvl w:val="1"/>
          <w:numId w:val="1006"/>
        </w:numPr>
      </w:pPr>
      <w:hyperlink w:anchor="Installationoverview">
        <w:r>
          <w:rPr>
            <w:rStyle w:val="Hyperlink"/>
          </w:rPr>
          <w:t xml:space="preserve">Installation overview</w:t>
        </w:r>
      </w:hyperlink>
    </w:p>
    <w:p>
      <w:pPr>
        <w:pStyle w:val="Compact"/>
        <w:numPr>
          <w:ilvl w:val="2"/>
          <w:numId w:val="1007"/>
        </w:numPr>
      </w:pPr>
      <w:hyperlink w:anchor="Task1Preparefortheinstallation">
        <w:r>
          <w:rPr>
            <w:rStyle w:val="Hyperlink"/>
          </w:rPr>
          <w:t xml:space="preserve">Task 1: Prepare for the installation</w:t>
        </w:r>
      </w:hyperlink>
    </w:p>
    <w:p>
      <w:pPr>
        <w:pStyle w:val="Compact"/>
        <w:numPr>
          <w:ilvl w:val="2"/>
          <w:numId w:val="1007"/>
        </w:numPr>
      </w:pPr>
      <w:hyperlink w:anchor="Task2Installthepackage">
        <w:r>
          <w:rPr>
            <w:rStyle w:val="Hyperlink"/>
          </w:rPr>
          <w:t xml:space="preserve">Task 2: Install the package</w:t>
        </w:r>
      </w:hyperlink>
    </w:p>
    <w:p>
      <w:pPr>
        <w:pStyle w:val="Compact"/>
        <w:numPr>
          <w:ilvl w:val="2"/>
          <w:numId w:val="1007"/>
        </w:numPr>
      </w:pPr>
      <w:hyperlink w:anchor="Task3Setupdatafeeds">
        <w:r>
          <w:rPr>
            <w:rStyle w:val="Hyperlink"/>
          </w:rPr>
          <w:t xml:space="preserve">Task 3: Setup data feeds</w:t>
        </w:r>
      </w:hyperlink>
    </w:p>
    <w:p>
      <w:pPr>
        <w:pStyle w:val="Compact"/>
        <w:numPr>
          <w:ilvl w:val="2"/>
          <w:numId w:val="1007"/>
        </w:numPr>
      </w:pPr>
      <w:hyperlink w:anchor="Task4Testtheinstallation">
        <w:r>
          <w:rPr>
            <w:rStyle w:val="Hyperlink"/>
          </w:rPr>
          <w:t xml:space="preserve">Task 4: Test the installation</w:t>
        </w:r>
      </w:hyperlink>
    </w:p>
    <w:p>
      <w:pPr>
        <w:pStyle w:val="Compact"/>
        <w:numPr>
          <w:ilvl w:val="2"/>
          <w:numId w:val="1007"/>
        </w:numPr>
      </w:pPr>
      <w:hyperlink w:anchor="Task5Manualchanges">
        <w:r>
          <w:rPr>
            <w:rStyle w:val="Hyperlink"/>
          </w:rPr>
          <w:t xml:space="preserve">Task 5: Manual changes</w:t>
        </w:r>
      </w:hyperlink>
    </w:p>
    <w:p>
      <w:pPr>
        <w:pStyle w:val="Compact"/>
        <w:numPr>
          <w:ilvl w:val="1"/>
          <w:numId w:val="1006"/>
        </w:numPr>
      </w:pPr>
      <w:hyperlink w:anchor="Installingthepackage">
        <w:r>
          <w:rPr>
            <w:rStyle w:val="Hyperlink"/>
          </w:rPr>
          <w:t xml:space="preserve">Installing the package</w:t>
        </w:r>
      </w:hyperlink>
    </w:p>
    <w:p>
      <w:pPr>
        <w:pStyle w:val="Compact"/>
        <w:numPr>
          <w:ilvl w:val="2"/>
          <w:numId w:val="1008"/>
        </w:numPr>
      </w:pPr>
      <w:hyperlink w:anchor="Task1Backupyourdatabase">
        <w:r>
          <w:rPr>
            <w:rStyle w:val="Hyperlink"/>
          </w:rPr>
          <w:t xml:space="preserve">Task 1: Backup your database</w:t>
        </w:r>
      </w:hyperlink>
    </w:p>
    <w:p>
      <w:pPr>
        <w:pStyle w:val="Compact"/>
        <w:numPr>
          <w:ilvl w:val="2"/>
          <w:numId w:val="1008"/>
        </w:numPr>
      </w:pPr>
      <w:hyperlink w:anchor="Task2Importthepackage">
        <w:r>
          <w:rPr>
            <w:rStyle w:val="Hyperlink"/>
          </w:rPr>
          <w:t xml:space="preserve">Task 2: Import the package</w:t>
        </w:r>
      </w:hyperlink>
    </w:p>
    <w:p>
      <w:pPr>
        <w:pStyle w:val="Compact"/>
        <w:numPr>
          <w:ilvl w:val="2"/>
          <w:numId w:val="1008"/>
        </w:numPr>
      </w:pPr>
      <w:hyperlink w:anchor="Task3Mapobjectsinthepackage">
        <w:r>
          <w:rPr>
            <w:rStyle w:val="Hyperlink"/>
          </w:rPr>
          <w:t xml:space="preserve">Task 3: Map objects in the package</w:t>
        </w:r>
      </w:hyperlink>
    </w:p>
    <w:p>
      <w:pPr>
        <w:pStyle w:val="Compact"/>
        <w:numPr>
          <w:ilvl w:val="2"/>
          <w:numId w:val="1008"/>
        </w:numPr>
      </w:pPr>
      <w:hyperlink w:anchor="Task4Installthepackage">
        <w:r>
          <w:rPr>
            <w:rStyle w:val="Hyperlink"/>
          </w:rPr>
          <w:t xml:space="preserve">Task 4: Install the package</w:t>
        </w:r>
      </w:hyperlink>
    </w:p>
    <w:p>
      <w:pPr>
        <w:pStyle w:val="Compact"/>
        <w:numPr>
          <w:ilvl w:val="2"/>
          <w:numId w:val="1008"/>
        </w:numPr>
      </w:pPr>
      <w:hyperlink w:anchor="Task5Reviewthepackageinstallationlog">
        <w:r>
          <w:rPr>
            <w:rStyle w:val="Hyperlink"/>
          </w:rPr>
          <w:t xml:space="preserve">Task 5: Review the package installation log</w:t>
        </w:r>
      </w:hyperlink>
    </w:p>
    <w:p>
      <w:pPr>
        <w:pStyle w:val="Compact"/>
        <w:numPr>
          <w:ilvl w:val="1"/>
          <w:numId w:val="1006"/>
        </w:numPr>
      </w:pPr>
      <w:hyperlink w:anchor="Manualchanges">
        <w:r>
          <w:rPr>
            <w:rStyle w:val="Hyperlink"/>
          </w:rPr>
          <w:t xml:space="preserve">Manual changes</w:t>
        </w:r>
      </w:hyperlink>
    </w:p>
    <w:bookmarkStart w:id="20" w:name="Releasehistory"/>
    <w:p>
      <w:pPr>
        <w:pStyle w:val="Heading2"/>
      </w:pPr>
      <w:r>
        <w:t xml:space="preserve">Release history</w:t>
      </w:r>
    </w:p>
    <w:p>
      <w:pPr>
        <w:pStyle w:val="FirstParagraph"/>
      </w:pPr>
      <w:r>
        <w:t xml:space="preserve">Last updated: September 2018</w:t>
      </w:r>
    </w:p>
    <w:bookmarkEnd w:id="20"/>
    <w:bookmarkStart w:id="25" w:name="OverviewofHCLTaxRiskManagementAppPack"/>
    <w:p>
      <w:pPr>
        <w:pStyle w:val="Heading2"/>
      </w:pPr>
      <w:r>
        <w:t xml:space="preserve">Overview of HCL Tax Risk Management App-Pack</w:t>
      </w:r>
    </w:p>
    <w:bookmarkStart w:id="21" w:name="Keyfeaturesandbenefits"/>
    <w:p>
      <w:pPr>
        <w:pStyle w:val="Heading3"/>
      </w:pPr>
      <w:r>
        <w:t xml:space="preserve">Key features and benefits</w:t>
      </w:r>
    </w:p>
    <w:p>
      <w:pPr>
        <w:pStyle w:val="FirstParagraph"/>
      </w:pPr>
      <w:r>
        <w:t xml:space="preserve">The HCL Tax Risk Management app-pack provides the ability to perform the following functions as a part of any organization’s tax risk management process, enabling risk analysts and coordinators to:</w:t>
      </w:r>
    </w:p>
    <w:p>
      <w:pPr>
        <w:numPr>
          <w:ilvl w:val="0"/>
          <w:numId w:val="1009"/>
        </w:numPr>
      </w:pPr>
      <w:r>
        <w:t xml:space="preserve">Perform quarterly tax risk assessments at entity/division levels.</w:t>
      </w:r>
    </w:p>
    <w:p>
      <w:pPr>
        <w:numPr>
          <w:ilvl w:val="0"/>
          <w:numId w:val="1009"/>
        </w:numPr>
      </w:pPr>
      <w:r>
        <w:t xml:space="preserve">Roll up assessment results to country and group company levels.</w:t>
      </w:r>
    </w:p>
    <w:p>
      <w:pPr>
        <w:numPr>
          <w:ilvl w:val="0"/>
          <w:numId w:val="1009"/>
        </w:numPr>
      </w:pPr>
      <w:r>
        <w:t xml:space="preserve">Report and analyze tax risks in local and group currency.</w:t>
      </w:r>
    </w:p>
    <w:p>
      <w:pPr>
        <w:numPr>
          <w:ilvl w:val="0"/>
          <w:numId w:val="1009"/>
        </w:numPr>
      </w:pPr>
      <w:r>
        <w:t xml:space="preserve">Analyze historical risk data trends with the ability to quantify changes due to currency fluctuations and other risk attributes.</w:t>
      </w:r>
    </w:p>
    <w:p>
      <w:pPr>
        <w:pStyle w:val="FirstParagraph"/>
      </w:pPr>
      <w:r>
        <w:t xml:space="preserve">Key benefits include:</w:t>
      </w:r>
    </w:p>
    <w:p>
      <w:pPr>
        <w:numPr>
          <w:ilvl w:val="0"/>
          <w:numId w:val="1010"/>
        </w:numPr>
      </w:pPr>
      <w:r>
        <w:t xml:space="preserve">Systematic and streamlined risk reporting and analysis mechanism with holistic view of organizational tax risk exposure at multiple levels.</w:t>
      </w:r>
    </w:p>
    <w:p>
      <w:pPr>
        <w:numPr>
          <w:ilvl w:val="0"/>
          <w:numId w:val="1010"/>
        </w:numPr>
      </w:pPr>
      <w:r>
        <w:t xml:space="preserve">Engagement of highly skilled workforce in data analysis and risk assessment rather than manual data gathering.</w:t>
      </w:r>
    </w:p>
    <w:p>
      <w:pPr>
        <w:numPr>
          <w:ilvl w:val="0"/>
          <w:numId w:val="1010"/>
        </w:numPr>
      </w:pPr>
      <w:r>
        <w:t xml:space="preserve">Aid in financial decisions such as hedging against currency fluctuations.</w:t>
      </w:r>
    </w:p>
    <w:bookmarkEnd w:id="21"/>
    <w:bookmarkStart w:id="22" w:name="PrerequisitesODAandAppPackrequirements"/>
    <w:p>
      <w:pPr>
        <w:pStyle w:val="Heading3"/>
      </w:pPr>
      <w:r>
        <w:t xml:space="preserve">Prerequisites (ODA and App-Pack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w:t>
            </w:r>
          </w:p>
        </w:tc>
        <w:tc>
          <w:tcPr/>
          <w:p>
            <w:pPr>
              <w:pStyle w:val="BodyText"/>
            </w:pPr>
            <w:r>
              <w:t xml:space="preserve">4 required ODA licenses</w:t>
            </w:r>
          </w:p>
          <w:p>
            <w:pPr>
              <w:pStyle w:val="BodyText"/>
            </w:pPr>
            <w:r>
              <w:t xml:space="preserve">1 optional ODA license</w:t>
            </w:r>
          </w:p>
        </w:tc>
      </w:tr>
      <w:tr>
        <w:tc>
          <w:tcPr/>
          <w:p>
            <w:pPr>
              <w:pStyle w:val="BodyText"/>
            </w:pPr>
            <w:r>
              <w:t xml:space="preserve">Questionnaires</w:t>
            </w:r>
          </w:p>
        </w:tc>
        <w:tc>
          <w:tcPr/>
          <w:p>
            <w:pPr>
              <w:pStyle w:val="BodyText"/>
            </w:pPr>
            <w:r>
              <w:t xml:space="preserve">2 Questionnaires</w:t>
            </w:r>
          </w:p>
          <w:p>
            <w:pPr>
              <w:pStyle w:val="BodyText"/>
            </w:pPr>
            <w:r>
              <w:rPr>
                <w:b/>
                <w:bCs/>
              </w:rPr>
              <w:t xml:space="preserve">Note:</w:t>
            </w:r>
            <w:r>
              <w:t xml:space="preserve"> </w:t>
            </w:r>
            <w:r>
              <w:t xml:space="preserve">At least one Archer use case that leverages questionnaires must be licensed for questionnaires to function.</w:t>
            </w:r>
          </w:p>
        </w:tc>
      </w:tr>
      <w:tr>
        <w:tc>
          <w:tcPr/>
          <w:p>
            <w:pPr>
              <w:pStyle w:val="BodyText"/>
            </w:pPr>
            <w:r>
              <w:t xml:space="preserve">Archer</w:t>
            </w:r>
          </w:p>
        </w:tc>
        <w:tc>
          <w:tcPr/>
          <w:p>
            <w:pPr>
              <w:pStyle w:val="BodyText"/>
            </w:pPr>
            <w:r>
              <w:t xml:space="preserve">Archer 6.5P2 and later</w:t>
            </w:r>
          </w:p>
        </w:tc>
      </w:tr>
      <w:tr>
        <w:tc>
          <w:tcPr/>
          <w:p>
            <w:pPr>
              <w:pStyle w:val="BodyText"/>
            </w:pPr>
            <w:r>
              <w:t xml:space="preserve">Use Cases</w:t>
            </w:r>
          </w:p>
        </w:tc>
        <w:tc>
          <w:tcPr/>
          <w:p>
            <w:pPr>
              <w:pStyle w:val="BodyText"/>
            </w:pPr>
            <w:r>
              <w:t xml:space="preserve">Issues Management</w:t>
            </w:r>
          </w:p>
        </w:tc>
      </w:tr>
      <w:tr>
        <w:tc>
          <w:tcPr/>
          <w:p>
            <w:pPr>
              <w:pStyle w:val="BodyText"/>
            </w:pPr>
            <w:r>
              <w:t xml:space="preserve">Pre-requisite Applications</w:t>
            </w:r>
          </w:p>
        </w:tc>
        <w:tc>
          <w:tcPr/>
          <w:p>
            <w:pPr>
              <w:pStyle w:val="BodyText"/>
            </w:pPr>
            <w:r>
              <w:t xml:space="preserve">Findings</w:t>
            </w:r>
          </w:p>
          <w:p>
            <w:pPr>
              <w:pStyle w:val="BodyText"/>
            </w:pPr>
            <w:r>
              <w:t xml:space="preserve">Remediation Plans</w:t>
            </w:r>
          </w:p>
          <w:p>
            <w:pPr>
              <w:pStyle w:val="BodyText"/>
            </w:pPr>
            <w:r>
              <w:t xml:space="preserve">Exception Requests</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Company</w:t>
            </w:r>
          </w:p>
        </w:tc>
        <w:tc>
          <w:tcPr/>
          <w:p>
            <w:pPr>
              <w:pStyle w:val="BodyText"/>
            </w:pPr>
            <w:r>
              <w:t xml:space="preserve">Enterprise Catalog</w:t>
            </w:r>
          </w:p>
        </w:tc>
        <w:tc>
          <w:tcPr/>
          <w:p>
            <w:pPr>
              <w:pStyle w:val="BodyText"/>
            </w:pPr>
            <w:r>
              <w:t xml:space="preserve">Provide linkage to enterprise structure</w:t>
            </w:r>
          </w:p>
        </w:tc>
      </w:tr>
      <w:tr>
        <w:tc>
          <w:tcPr/>
          <w:p>
            <w:pPr>
              <w:pStyle w:val="BodyText"/>
            </w:pPr>
            <w:r>
              <w:t xml:space="preserve">Division</w:t>
            </w:r>
          </w:p>
        </w:tc>
        <w:tc>
          <w:tcPr/>
          <w:p>
            <w:pPr>
              <w:pStyle w:val="BodyText"/>
            </w:pPr>
            <w:r>
              <w:t xml:space="preserve">Enterprise Catalog</w:t>
            </w:r>
          </w:p>
        </w:tc>
        <w:tc>
          <w:tcPr/>
          <w:p>
            <w:pPr>
              <w:pStyle w:val="BodyText"/>
            </w:pPr>
            <w:r>
              <w:t xml:space="preserve">An entity being assessed can link to any division within the organization</w:t>
            </w:r>
          </w:p>
        </w:tc>
      </w:tr>
      <w:tr>
        <w:tc>
          <w:tcPr/>
          <w:p>
            <w:pPr>
              <w:pStyle w:val="BodyText"/>
            </w:pPr>
            <w:r>
              <w:t xml:space="preserve">Business Unit</w:t>
            </w:r>
          </w:p>
        </w:tc>
        <w:tc>
          <w:tcPr/>
          <w:p>
            <w:pPr>
              <w:pStyle w:val="BodyText"/>
            </w:pPr>
            <w:r>
              <w:t xml:space="preserve">Enterprise Catalog</w:t>
            </w:r>
          </w:p>
        </w:tc>
        <w:tc>
          <w:tcPr/>
          <w:p>
            <w:pPr>
              <w:pStyle w:val="BodyText"/>
            </w:pPr>
            <w:r>
              <w:t xml:space="preserve">An entity being assessed can link to any business unit within the organization</w:t>
            </w:r>
          </w:p>
        </w:tc>
      </w:tr>
      <w:tr>
        <w:tc>
          <w:tcPr/>
          <w:p>
            <w:pPr>
              <w:pStyle w:val="BodyText"/>
            </w:pPr>
            <w:r>
              <w:t xml:space="preserve">Findings</w:t>
            </w:r>
          </w:p>
        </w:tc>
        <w:tc>
          <w:tcPr/>
          <w:p>
            <w:pPr>
              <w:pStyle w:val="BodyText"/>
            </w:pPr>
            <w:r>
              <w:t xml:space="preserve">Issues Management</w:t>
            </w:r>
          </w:p>
        </w:tc>
        <w:tc>
          <w:tcPr/>
          <w:p>
            <w:pPr>
              <w:pStyle w:val="BodyText"/>
            </w:pPr>
            <w:r>
              <w:t xml:space="preserve">Tax Risks reports can be linked to Issues and tracked for closure</w:t>
            </w:r>
          </w:p>
        </w:tc>
      </w:tr>
      <w:tr>
        <w:tc>
          <w:tcPr/>
          <w:p>
            <w:pPr>
              <w:pStyle w:val="BodyText"/>
            </w:pPr>
            <w:r>
              <w:t xml:space="preserve">Risk Register</w:t>
            </w:r>
          </w:p>
        </w:tc>
        <w:tc>
          <w:tcPr/>
          <w:p>
            <w:pPr>
              <w:pStyle w:val="BodyText"/>
            </w:pPr>
            <w:r>
              <w:t xml:space="preserve">Risk Catalog</w:t>
            </w:r>
          </w:p>
        </w:tc>
        <w:tc>
          <w:tcPr/>
          <w:p>
            <w:pPr>
              <w:pStyle w:val="BodyText"/>
            </w:pPr>
            <w:r>
              <w:t xml:space="preserve">Tax risks can link to existing risk within the Risk Catalog</w:t>
            </w:r>
          </w:p>
        </w:tc>
      </w:tr>
      <w:tr>
        <w:tc>
          <w:tcPr/>
          <w:p>
            <w:pPr>
              <w:pStyle w:val="BodyText"/>
            </w:pPr>
            <w:r>
              <w:t xml:space="preserve">Exception Request</w:t>
            </w:r>
          </w:p>
        </w:tc>
        <w:tc>
          <w:tcPr/>
          <w:p>
            <w:pPr>
              <w:pStyle w:val="BodyText"/>
            </w:pPr>
            <w:r>
              <w:t xml:space="preserve">Issues Management</w:t>
            </w:r>
          </w:p>
        </w:tc>
        <w:tc>
          <w:tcPr/>
          <w:p>
            <w:pPr>
              <w:pStyle w:val="BodyText"/>
            </w:pPr>
            <w:r>
              <w:t xml:space="preserve">Issues pertinent to tax risks can be accepted for exposure as an exception to existing corporate policies or organizational processes</w:t>
            </w:r>
          </w:p>
        </w:tc>
      </w:tr>
      <w:tr>
        <w:tc>
          <w:tcPr/>
          <w:p>
            <w:pPr>
              <w:pStyle w:val="BodyText"/>
            </w:pPr>
            <w:r>
              <w:t xml:space="preserve">Remediation Plan</w:t>
            </w:r>
          </w:p>
        </w:tc>
        <w:tc>
          <w:tcPr/>
          <w:p>
            <w:pPr>
              <w:pStyle w:val="BodyText"/>
            </w:pPr>
            <w:r>
              <w:t xml:space="preserve">Issues Management</w:t>
            </w:r>
          </w:p>
        </w:tc>
        <w:tc>
          <w:tcPr/>
          <w:p>
            <w:pPr>
              <w:pStyle w:val="BodyText"/>
            </w:pPr>
            <w:r>
              <w:t xml:space="preserve">Issues pertinent to tax risks can be tracked for appropriate remediation with business defined workflow and accountability</w:t>
            </w:r>
          </w:p>
        </w:tc>
      </w:tr>
    </w:tbl>
    <w:bookmarkEnd w:id="23"/>
    <w:bookmarkEnd w:id="24"/>
    <w:bookmarkEnd w:id="25"/>
    <w:bookmarkStart w:id="36" w:name="HCLTaxRiskAppPackcomponents"/>
    <w:p>
      <w:pPr>
        <w:pStyle w:val="Heading2"/>
      </w:pPr>
      <w:r>
        <w:t xml:space="preserve">HCL Tax Risk App-Pack components</w:t>
      </w:r>
    </w:p>
    <w:bookmarkStart w:id="29" w:name="Architecturediagram"/>
    <w:p>
      <w:pPr>
        <w:pStyle w:val="Heading3"/>
      </w:pPr>
      <w:r>
        <w:t xml:space="preserve">Architecture diagram</w:t>
      </w:r>
    </w:p>
    <w:p>
      <w:pPr>
        <w:pStyle w:val="FirstParagraph"/>
      </w:pPr>
      <w:r>
        <w:t xml:space="preserve">The following diagram provides the overarching application relationship diagram between core use case applications, required and optional ODA applications, and questionnaires.</w:t>
      </w:r>
    </w:p>
    <w:p>
      <w:pPr>
        <w:pStyle w:val="BodyText"/>
      </w:pPr>
      <w:r>
        <w:drawing>
          <wp:inline>
            <wp:extent cx="5334000" cy="2629786"/>
            <wp:effectExtent b="0" l="0" r="0" t="0"/>
            <wp:docPr descr="" title="" id="27" name="Picture"/>
            <a:graphic>
              <a:graphicData uri="http://schemas.openxmlformats.org/drawingml/2006/picture">
                <pic:pic>
                  <pic:nvPicPr>
                    <pic:cNvPr descr="C:/Users/User/HelpArcher-to-pdf/HelpArcher-to-pdf-1/images/b91075c4e58055cc676b54ee74030ba5.png" id="28" name="Picture"/>
                    <pic:cNvPicPr>
                      <a:picLocks noChangeArrowheads="1" noChangeAspect="1"/>
                    </pic:cNvPicPr>
                  </pic:nvPicPr>
                  <pic:blipFill>
                    <a:blip r:embed="rId26"/>
                    <a:stretch>
                      <a:fillRect/>
                    </a:stretch>
                  </pic:blipFill>
                  <pic:spPr bwMode="auto">
                    <a:xfrm>
                      <a:off x="0" y="0"/>
                      <a:ext cx="5334000" cy="2629786"/>
                    </a:xfrm>
                    <a:prstGeom prst="rect">
                      <a:avLst/>
                    </a:prstGeom>
                    <a:noFill/>
                    <a:ln w="9525">
                      <a:noFill/>
                      <a:headEnd/>
                      <a:tailEnd/>
                    </a:ln>
                  </pic:spPr>
                </pic:pic>
              </a:graphicData>
            </a:graphic>
          </wp:inline>
        </w:drawing>
      </w:r>
    </w:p>
    <w:bookmarkEnd w:id="29"/>
    <w:bookmarkStart w:id="33" w:name="SwimLanediagram"/>
    <w:p>
      <w:pPr>
        <w:pStyle w:val="Heading3"/>
      </w:pPr>
      <w:r>
        <w:t xml:space="preserve">Swim Lane diagram</w:t>
      </w:r>
    </w:p>
    <w:p>
      <w:pPr>
        <w:pStyle w:val="FirstParagraph"/>
      </w:pPr>
      <w:r>
        <w:t xml:space="preserve">The following diagram shows the general workflow of the HCL Tax Risk Management app-pack.</w:t>
      </w:r>
    </w:p>
    <w:p>
      <w:pPr>
        <w:pStyle w:val="BodyText"/>
      </w:pPr>
      <w:r>
        <w:drawing>
          <wp:inline>
            <wp:extent cx="5334000" cy="2309715"/>
            <wp:effectExtent b="0" l="0" r="0" t="0"/>
            <wp:docPr descr="" title="" id="31" name="Picture"/>
            <a:graphic>
              <a:graphicData uri="http://schemas.openxmlformats.org/drawingml/2006/picture">
                <pic:pic>
                  <pic:nvPicPr>
                    <pic:cNvPr descr="C:/Users/User/HelpArcher-to-pdf/HelpArcher-to-pdf-1/images/4efb5bb16accec598f15a0d083f57fde.png" id="32" name="Picture"/>
                    <pic:cNvPicPr>
                      <a:picLocks noChangeArrowheads="1" noChangeAspect="1"/>
                    </pic:cNvPicPr>
                  </pic:nvPicPr>
                  <pic:blipFill>
                    <a:blip r:embed="rId30"/>
                    <a:stretch>
                      <a:fillRect/>
                    </a:stretch>
                  </pic:blipFill>
                  <pic:spPr bwMode="auto">
                    <a:xfrm>
                      <a:off x="0" y="0"/>
                      <a:ext cx="5334000" cy="2309715"/>
                    </a:xfrm>
                    <a:prstGeom prst="rect">
                      <a:avLst/>
                    </a:prstGeom>
                    <a:noFill/>
                    <a:ln w="9525">
                      <a:noFill/>
                      <a:headEnd/>
                      <a:tailEnd/>
                    </a:ln>
                  </pic:spPr>
                </pic:pic>
              </a:graphicData>
            </a:graphic>
          </wp:inline>
        </w:drawing>
      </w:r>
    </w:p>
    <w:bookmarkEnd w:id="33"/>
    <w:bookmarkStart w:id="34" w:name="Applications"/>
    <w:p>
      <w:pPr>
        <w:pStyle w:val="Heading3"/>
      </w:pPr>
      <w:r>
        <w:t xml:space="preserve">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Type</w:t>
            </w:r>
          </w:p>
        </w:tc>
        <w:tc>
          <w:tcPr/>
          <w:p>
            <w:pPr>
              <w:pStyle w:val="BodyText"/>
            </w:pPr>
            <w:r>
              <w:t xml:space="preserve">Description</w:t>
            </w:r>
          </w:p>
        </w:tc>
      </w:tr>
      <w:tr>
        <w:tc>
          <w:tcPr/>
          <w:p>
            <w:pPr>
              <w:pStyle w:val="BodyText"/>
            </w:pPr>
            <w:r>
              <w:t xml:space="preserve">Group Company</w:t>
            </w:r>
          </w:p>
        </w:tc>
        <w:tc>
          <w:tcPr/>
          <w:p>
            <w:pPr>
              <w:pStyle w:val="BodyText"/>
            </w:pPr>
            <w:r>
              <w:t xml:space="preserve">Optional ODA</w:t>
            </w:r>
          </w:p>
        </w:tc>
        <w:tc>
          <w:tcPr/>
          <w:p>
            <w:pPr>
              <w:pStyle w:val="BodyText"/>
            </w:pPr>
            <w:r>
              <w:t xml:space="preserve">The Group Company application stores general, group tax coordinator, and taxation risk analysis information for the whole group for current quarter and year aggregated from all underlying entities across various countries.</w:t>
            </w:r>
          </w:p>
        </w:tc>
      </w:tr>
      <w:tr>
        <w:tc>
          <w:tcPr/>
          <w:p>
            <w:pPr>
              <w:pStyle w:val="BodyText"/>
            </w:pPr>
            <w:r>
              <w:t xml:space="preserve">Entity</w:t>
            </w:r>
          </w:p>
        </w:tc>
        <w:tc>
          <w:tcPr/>
          <w:p>
            <w:pPr>
              <w:pStyle w:val="BodyText"/>
            </w:pPr>
            <w:r>
              <w:t xml:space="preserve">ODA</w:t>
            </w:r>
          </w:p>
        </w:tc>
        <w:tc>
          <w:tcPr/>
          <w:p>
            <w:pPr>
              <w:pStyle w:val="BodyText"/>
            </w:pPr>
            <w:r>
              <w:t xml:space="preserve">The Entity application stores basic information about the organizational entity along with its geography, tax reporting responsibility, and coordinator information. It also contains tax risk analysis information for current quarter and year along with historical data from previous quarterly assessments.</w:t>
            </w:r>
          </w:p>
        </w:tc>
      </w:tr>
      <w:tr>
        <w:tc>
          <w:tcPr/>
          <w:p>
            <w:pPr>
              <w:pStyle w:val="BodyText"/>
            </w:pPr>
            <w:r>
              <w:t xml:space="preserve">Country</w:t>
            </w:r>
          </w:p>
        </w:tc>
        <w:tc>
          <w:tcPr/>
          <w:p>
            <w:pPr>
              <w:pStyle w:val="BodyText"/>
            </w:pPr>
            <w:r>
              <w:t xml:space="preserve">ODA</w:t>
            </w:r>
          </w:p>
        </w:tc>
        <w:tc>
          <w:tcPr/>
          <w:p>
            <w:pPr>
              <w:pStyle w:val="BodyText"/>
            </w:pPr>
            <w:r>
              <w:t xml:space="preserve">The Country application serves as a central repository of all countries where your organizational entities operate along with their local currencies. It also contains the taxation information for current quarter and year rolling up from underlying entities and linkage to exchange rates to group currency for previous quarters.</w:t>
            </w:r>
          </w:p>
        </w:tc>
      </w:tr>
      <w:tr>
        <w:tc>
          <w:tcPr/>
          <w:p>
            <w:pPr>
              <w:pStyle w:val="BodyText"/>
            </w:pPr>
            <w:r>
              <w:t xml:space="preserve">Currency</w:t>
            </w:r>
          </w:p>
        </w:tc>
        <w:tc>
          <w:tcPr/>
          <w:p>
            <w:pPr>
              <w:pStyle w:val="BodyText"/>
            </w:pPr>
            <w:r>
              <w:t xml:space="preserve">ODA</w:t>
            </w:r>
          </w:p>
        </w:tc>
        <w:tc>
          <w:tcPr/>
          <w:p>
            <w:pPr>
              <w:pStyle w:val="BodyText"/>
            </w:pPr>
            <w:r>
              <w:t xml:space="preserve">The Currency application serves as a central repository of currency exchange rate data from local entity to group level maintained on a quarterly basis for tax risk analysis on historical data due to currency fluctuations. It can be integrated with industry currency exchange feeds such as federal banks, open exchange rate providers, etc.</w:t>
            </w:r>
          </w:p>
        </w:tc>
      </w:tr>
      <w:tr>
        <w:tc>
          <w:tcPr/>
          <w:p>
            <w:pPr>
              <w:pStyle w:val="BodyText"/>
            </w:pPr>
            <w:r>
              <w:t xml:space="preserve">Tax Risk</w:t>
            </w:r>
          </w:p>
        </w:tc>
        <w:tc>
          <w:tcPr/>
          <w:p>
            <w:pPr>
              <w:pStyle w:val="BodyText"/>
            </w:pPr>
            <w:r>
              <w:t xml:space="preserve">ODA</w:t>
            </w:r>
          </w:p>
        </w:tc>
        <w:tc>
          <w:tcPr/>
          <w:p>
            <w:pPr>
              <w:pStyle w:val="BodyText"/>
            </w:pPr>
            <w:r>
              <w:t xml:space="preserve">The Tax Risk application serves as a repository of tax issues/cases along with their geographical and entity applicability, classification, financial and taxation impact along with linkages to quarterly assessments and analysis at group currency level.</w:t>
            </w:r>
          </w:p>
        </w:tc>
      </w:tr>
      <w:tr>
        <w:tc>
          <w:tcPr/>
          <w:p>
            <w:pPr>
              <w:pStyle w:val="BodyText"/>
            </w:pPr>
            <w:r>
              <w:t xml:space="preserve">Tax Risk Analysis</w:t>
            </w:r>
          </w:p>
        </w:tc>
        <w:tc>
          <w:tcPr/>
          <w:p>
            <w:pPr>
              <w:pStyle w:val="BodyText"/>
            </w:pPr>
            <w:r>
              <w:t xml:space="preserve">Questionnaire</w:t>
            </w:r>
          </w:p>
        </w:tc>
        <w:tc>
          <w:tcPr/>
          <w:p>
            <w:pPr>
              <w:pStyle w:val="BodyText"/>
            </w:pPr>
            <w:r>
              <w:t xml:space="preserve">The Tax Risk Analysis questionnaire allows the organization to perform tax risk analysis using the current local currency and providing the currency conversion.</w:t>
            </w:r>
          </w:p>
        </w:tc>
      </w:tr>
      <w:tr>
        <w:tc>
          <w:tcPr/>
          <w:p>
            <w:pPr>
              <w:pStyle w:val="BodyText"/>
            </w:pPr>
            <w:r>
              <w:t xml:space="preserve">Quarterly Risk Assessment</w:t>
            </w:r>
          </w:p>
        </w:tc>
        <w:tc>
          <w:tcPr/>
          <w:p>
            <w:pPr>
              <w:pStyle w:val="BodyText"/>
            </w:pPr>
            <w:r>
              <w:t xml:space="preserve">Questionnaire</w:t>
            </w:r>
          </w:p>
        </w:tc>
        <w:tc>
          <w:tcPr/>
          <w:p>
            <w:pPr>
              <w:pStyle w:val="BodyText"/>
            </w:pPr>
            <w:r>
              <w:t xml:space="preserve">The Quarterly Risk Assessment questionnaire allows organizations to perform quarterly assessments on tax risks reported at entity levels. It enables tax coordinators to capture tax exposure, provisions, payments, liability, and control information reported in local currencies and converted into group currency for subsequent analysis and management reporting.</w:t>
            </w:r>
          </w:p>
        </w:tc>
      </w:tr>
    </w:tbl>
    <w:bookmarkEnd w:id="34"/>
    <w:bookmarkStart w:id="35" w:name="PersonasandAccessRoles"/>
    <w:p>
      <w:pPr>
        <w:pStyle w:val="Heading3"/>
      </w:pPr>
      <w:r>
        <w:t xml:space="preserve">Personas and Access Roles</w:t>
      </w:r>
    </w:p>
    <w:p>
      <w:pPr>
        <w:pStyle w:val="FirstParagraph"/>
      </w:pPr>
      <w:r>
        <w:t xml:space="preserve">The following table describes the functions that make up the app-pack’s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Group Tax Coordinator</w:t>
            </w:r>
          </w:p>
        </w:tc>
        <w:tc>
          <w:tcPr/>
          <w:p>
            <w:pPr>
              <w:pStyle w:val="BodyText"/>
            </w:pPr>
            <w:r>
              <w:t xml:space="preserve">The Group Tax Coordinator is responsible for governance of the quarterly tax risk reporting process including timely submission of tax risks, subsequent analysis by coordinators, and maintenance of local currency exchange rates to group currency. The Group Tax Coordinator is the final level of approval for all submitted tax reports. They define entity Tax Coordinator and tax risk reporting and are responsible for personnel management with regard to the tax risk management process.</w:t>
            </w:r>
          </w:p>
        </w:tc>
      </w:tr>
      <w:tr>
        <w:tc>
          <w:tcPr/>
          <w:p>
            <w:pPr>
              <w:pStyle w:val="BodyText"/>
            </w:pPr>
            <w:r>
              <w:t xml:space="preserve">Tax Coordinator</w:t>
            </w:r>
          </w:p>
        </w:tc>
        <w:tc>
          <w:tcPr/>
          <w:p>
            <w:pPr>
              <w:pStyle w:val="BodyText"/>
            </w:pPr>
            <w:r>
              <w:t xml:space="preserve">The Tax Coordinator is assigned to one or more regions. Within the assigned region, they are responsible for analysis of reported risks for currency deviation and submission of quarterly risk assessments to the Group Tax Coordinator, thereby supervising the risk reporting process. The Tax Coordinator can change a company’s tax risk reporting responsible personnel if needed while the Group Tax Coordinator is notified of the change.</w:t>
            </w:r>
          </w:p>
        </w:tc>
      </w:tr>
      <w:tr>
        <w:tc>
          <w:tcPr/>
          <w:p>
            <w:pPr>
              <w:pStyle w:val="BodyText"/>
            </w:pPr>
            <w:r>
              <w:t xml:space="preserve">Chief Accountant</w:t>
            </w:r>
          </w:p>
        </w:tc>
        <w:tc>
          <w:tcPr/>
          <w:p>
            <w:pPr>
              <w:pStyle w:val="BodyText"/>
            </w:pPr>
            <w:r>
              <w:t xml:space="preserve">Chief Accountants are employees of entities under the Group Company that are responsible to report the tax risks in the system for their respective areas.</w:t>
            </w:r>
          </w:p>
        </w:tc>
      </w:tr>
    </w:tbl>
    <w:p>
      <w:pPr>
        <w:pStyle w:val="BodyText"/>
      </w:pPr>
      <w:r>
        <w:t xml:space="preserve">Out-of-the-box roles and groups can be extended to the Tax Risk Management app-pack application and related applications to ensure that respective stakeholders in your organization have appropriate access to the app-pack.</w:t>
      </w:r>
    </w:p>
    <w:bookmarkEnd w:id="35"/>
    <w:bookmarkEnd w:id="36"/>
    <w:bookmarkStart w:id="41" w:name="UsingHCLTaxRiskManagementAppPack"/>
    <w:p>
      <w:pPr>
        <w:pStyle w:val="Heading2"/>
      </w:pPr>
      <w:r>
        <w:t xml:space="preserve">Using HCL Tax Risk Management App-Pack</w:t>
      </w:r>
    </w:p>
    <w:bookmarkStart w:id="37" w:name="Task1Assessmentinitiation"/>
    <w:p>
      <w:pPr>
        <w:pStyle w:val="Heading3"/>
      </w:pPr>
      <w:r>
        <w:t xml:space="preserve">Task 1: Assessment initiation</w:t>
      </w:r>
    </w:p>
    <w:p>
      <w:pPr>
        <w:pStyle w:val="FirstParagraph"/>
      </w:pPr>
      <w:r>
        <w:t xml:space="preserve">Group Tax Coordinators can initiate the quarterly assessments on scoped entities/companies for a particular quarter. Automated notifications are sent out to chief accountants for assessment cycle intimation along with due dates and instructions/guidelines for completing the assessments. The reporting currency for a particular company and quarterly exchange rate is automatically picked from the integration linkages established with supporting modules (country and currency repository).</w:t>
      </w:r>
    </w:p>
    <w:bookmarkEnd w:id="37"/>
    <w:bookmarkStart w:id="38" w:name="Task2Assessmentresponse"/>
    <w:p>
      <w:pPr>
        <w:pStyle w:val="Heading3"/>
      </w:pPr>
      <w:r>
        <w:t xml:space="preserve">Task 2: Assessment response</w:t>
      </w:r>
    </w:p>
    <w:p>
      <w:pPr>
        <w:pStyle w:val="FirstParagraph"/>
      </w:pPr>
      <w:r>
        <w:t xml:space="preserve">The Chief Accountants respond to each quarterly assessment related to the entity for which they are responsible. They fill in the Exposure amounts to be reported in local currency and its distribution across various categories like taxes paid, contingent liability, provisions, and more. Across each of the quarterly assessments they can create a Tax Issue Case by filling in the details like issue name, description, type of Risk or Opportunity, Sub-Type of Risk or Opportunity, effect on income statement, and more. Each issue type can further be split across Sub-Type, i.e., categorization across Interest/Penalty and tax components. Once everything is documented the Chief Accountant sends the assessment to the Tax Coordinator.</w:t>
      </w:r>
    </w:p>
    <w:bookmarkEnd w:id="38"/>
    <w:bookmarkStart w:id="39" w:name="Task3Assessmentreviewandanalysis"/>
    <w:p>
      <w:pPr>
        <w:pStyle w:val="Heading3"/>
      </w:pPr>
      <w:r>
        <w:t xml:space="preserve">Task 3: Assessment review and analysis</w:t>
      </w:r>
    </w:p>
    <w:p>
      <w:pPr>
        <w:pStyle w:val="FirstParagraph"/>
      </w:pPr>
      <w:r>
        <w:t xml:space="preserve">On receiving the request from the Chief Accountant, the Tax Coordinator reviews the details provided by the Chief Accountant and the issues reported as part of the assessment cycle. The Tax Coordinator can create the tax analysis record and perform the Tax Risk Analysis by comparing the exposure changes due to absolute value and currency changes over the period of time. The Tax Coordinator has two options: he/she can either refer the request back in case change is required to the submitted report or in case of agreement can approve it.</w:t>
      </w:r>
    </w:p>
    <w:bookmarkEnd w:id="39"/>
    <w:bookmarkStart w:id="40" w:name="Task4Assessmentclosureandriskreporting"/>
    <w:p>
      <w:pPr>
        <w:pStyle w:val="Heading3"/>
      </w:pPr>
      <w:r>
        <w:t xml:space="preserve">Task 4: Assessment closure and risk reporting</w:t>
      </w:r>
    </w:p>
    <w:p>
      <w:pPr>
        <w:pStyle w:val="FirstParagraph"/>
      </w:pPr>
      <w:r>
        <w:t xml:space="preserve">Once the report is approved at the Tax Coordinator level it reaches the queue of the Group Tax Coordinator. The Group Tax Coordinator then reviews the reports submitted by Tax Coordinator, they can make changes to the final reported amount in local currency without changing the data reported by Chief Accountant and Tax Coordinator by adding the adjustments. This adjustment is not visible to Chief Accountant and Tax Coordinator and used for final report for Management. Once everything is as expected, they can approve it else can refer it back to the Tax Coordinator. The exposures reported in local currencies are converted into group currency to aid analysis. Post closure of the assessment cycle, the risks are consolidated across companies/countries and analyzed for open exposure trend at group level over a period of time for subsequent financial reporting and to aid management decisions.</w:t>
      </w:r>
    </w:p>
    <w:bookmarkEnd w:id="40"/>
    <w:bookmarkEnd w:id="41"/>
    <w:bookmarkStart w:id="89" w:name="InstallingHCLTaxRiskAppPack"/>
    <w:p>
      <w:pPr>
        <w:pStyle w:val="Heading2"/>
      </w:pPr>
      <w:r>
        <w:t xml:space="preserve">Installing HCL Tax Risk App-Pack</w:t>
      </w:r>
    </w:p>
    <w:bookmarkStart w:id="48" w:name="Installationoverview"/>
    <w:p>
      <w:pPr>
        <w:pStyle w:val="Heading3"/>
      </w:pPr>
      <w:r>
        <w:t xml:space="preserve">Installation overview</w:t>
      </w:r>
    </w:p>
    <w:p>
      <w:pPr>
        <w:pStyle w:val="FirstParagraph"/>
      </w:pPr>
      <w:r>
        <w:t xml:space="preserve">Complete the following tasks to install the application.</w:t>
      </w:r>
    </w:p>
    <w:bookmarkStart w:id="43" w:name="Task1Preparefortheinstallation"/>
    <w:p>
      <w:pPr>
        <w:pStyle w:val="Heading4"/>
      </w:pPr>
      <w:r>
        <w:t xml:space="preserve">Task 1: Prepare for the installation</w:t>
      </w:r>
    </w:p>
    <w:p>
      <w:pPr>
        <w:numPr>
          <w:ilvl w:val="0"/>
          <w:numId w:val="1011"/>
        </w:numPr>
      </w:pPr>
      <w:r>
        <w:t xml:space="preserve">Ensure that your Archer system meets the following requirements:</w:t>
      </w:r>
    </w:p>
    <w:p>
      <w:pPr>
        <w:numPr>
          <w:ilvl w:val="1"/>
          <w:numId w:val="1012"/>
        </w:numPr>
      </w:pPr>
      <w:r>
        <w:t xml:space="preserve">Archer Platform version 6.5P2 and above.</w:t>
      </w:r>
    </w:p>
    <w:p>
      <w:pPr>
        <w:numPr>
          <w:ilvl w:val="0"/>
          <w:numId w:val="1011"/>
        </w:numPr>
      </w:pPr>
      <w:r>
        <w:t xml:space="preserve">Download the ODA install package from Archer on:</w:t>
      </w:r>
      <w:r>
        <w:t xml:space="preserve"> </w:t>
      </w:r>
      <w:hyperlink r:id="rId42">
        <w:r>
          <w:rPr>
            <w:rStyle w:val="Hyperlink"/>
          </w:rPr>
          <w:t xml:space="preserve">https://community.rsa.com/community/products/archer-grc/exchange/documentation-downloads</w:t>
        </w:r>
      </w:hyperlink>
    </w:p>
    <w:p>
      <w:pPr>
        <w:numPr>
          <w:ilvl w:val="0"/>
          <w:numId w:val="1011"/>
        </w:numPr>
      </w:pPr>
      <w:r>
        <w:t xml:space="preserve">Read and understand the "Packaging Data" section of the Archer Help.</w:t>
      </w:r>
    </w:p>
    <w:bookmarkEnd w:id="43"/>
    <w:bookmarkStart w:id="44"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44"/>
    <w:bookmarkStart w:id="45" w:name="Task3Setupdatafeeds"/>
    <w:p>
      <w:pPr>
        <w:pStyle w:val="Heading4"/>
      </w:pPr>
      <w:r>
        <w:t xml:space="preserve">Task 3: Setup data feeds</w:t>
      </w:r>
    </w:p>
    <w:p>
      <w:pPr>
        <w:pStyle w:val="FirstParagraph"/>
      </w:pPr>
      <w:r>
        <w:t xml:space="preserve">You must import and schedule each data feed. See</w:t>
      </w:r>
      <w:r>
        <w:t xml:space="preserve"> </w:t>
      </w:r>
      <w:hyperlink w:anchor="SettingUpDataFeeds">
        <w:r>
          <w:rPr>
            <w:rStyle w:val="Hyperlink"/>
          </w:rPr>
          <w:t xml:space="preserve">Setting Up Data Feeds</w:t>
        </w:r>
      </w:hyperlink>
      <w:r>
        <w:t xml:space="preserve"> </w:t>
      </w:r>
      <w:r>
        <w:t xml:space="preserve">for complete information.</w:t>
      </w:r>
    </w:p>
    <w:bookmarkEnd w:id="45"/>
    <w:bookmarkStart w:id="46" w:name="Task4Testtheinstallation"/>
    <w:p>
      <w:pPr>
        <w:pStyle w:val="Heading4"/>
      </w:pPr>
      <w:r>
        <w:t xml:space="preserve">Task 4: Test the installation</w:t>
      </w:r>
    </w:p>
    <w:p>
      <w:pPr>
        <w:pStyle w:val="FirstParagraph"/>
      </w:pPr>
      <w:r>
        <w:t xml:space="preserve">Test the application according to your company standards and procedures to ensure that the app-pack works with your existing processes.</w:t>
      </w:r>
    </w:p>
    <w:bookmarkEnd w:id="46"/>
    <w:bookmarkStart w:id="47" w:name="Task5Manualchanges"/>
    <w:p>
      <w:pPr>
        <w:pStyle w:val="Heading4"/>
      </w:pPr>
      <w:r>
        <w:t xml:space="preserve">Task 5: Manual changes</w:t>
      </w:r>
    </w:p>
    <w:p>
      <w:pPr>
        <w:pStyle w:val="FirstParagraph"/>
      </w:pPr>
      <w:r>
        <w:t xml:space="preserve">Perform the manual changes in System.</w:t>
      </w:r>
    </w:p>
    <w:bookmarkEnd w:id="47"/>
    <w:bookmarkEnd w:id="48"/>
    <w:bookmarkStart w:id="87" w:name="Installingthepackage"/>
    <w:p>
      <w:pPr>
        <w:pStyle w:val="Heading3"/>
      </w:pPr>
      <w:r>
        <w:t xml:space="preserve">Installing the package</w:t>
      </w:r>
    </w:p>
    <w:bookmarkStart w:id="49" w:name="Task1Backupyourdatabase"/>
    <w:p>
      <w:pPr>
        <w:pStyle w:val="Heading4"/>
      </w:pPr>
      <w:r>
        <w:t xml:space="preserve">Task 1: Backup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9"/>
    <w:bookmarkStart w:id="53" w:name="Task2Importthepackage"/>
    <w:p>
      <w:pPr>
        <w:pStyle w:val="Heading4"/>
      </w:pPr>
      <w:r>
        <w:t xml:space="preserve">Task 2: Import the package</w:t>
      </w:r>
    </w:p>
    <w:p>
      <w:pPr>
        <w:numPr>
          <w:ilvl w:val="0"/>
          <w:numId w:val="1013"/>
        </w:numPr>
      </w:pPr>
      <w:r>
        <w:t xml:space="preserve">Go to the Install Packages page.</w:t>
      </w:r>
    </w:p>
    <w:p>
      <w:pPr>
        <w:numPr>
          <w:ilvl w:val="1"/>
          <w:numId w:val="1014"/>
        </w:numPr>
      </w:pPr>
      <w:r>
        <w:t xml:space="preserve">From the menu bar, click</w:t>
      </w:r>
      <w:r>
        <w:t xml:space="preserve"> </w:t>
      </w:r>
      <w:r>
        <w:drawing>
          <wp:inline>
            <wp:extent cx="269507" cy="250256"/>
            <wp:effectExtent b="0" l="0" r="0" t="0"/>
            <wp:docPr descr="" title="" id="51" name="Picture"/>
            <a:graphic>
              <a:graphicData uri="http://schemas.openxmlformats.org/drawingml/2006/picture">
                <pic:pic>
                  <pic:nvPicPr>
                    <pic:cNvPr descr="C:/Users/User/HelpArcher-to-pdf/HelpArcher-to-pdf-1/images/d5abb064f35d6a5b0eecfc4362999618.png" id="52" name="Picture"/>
                    <pic:cNvPicPr>
                      <a:picLocks noChangeArrowheads="1" noChangeAspect="1"/>
                    </pic:cNvPicPr>
                  </pic:nvPicPr>
                  <pic:blipFill>
                    <a:blip r:embed="rId50"/>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4"/>
        </w:numPr>
      </w:pPr>
      <w:r>
        <w:t xml:space="preserve">Under Application Builder, click Install Packages.</w:t>
      </w:r>
    </w:p>
    <w:p>
      <w:pPr>
        <w:numPr>
          <w:ilvl w:val="0"/>
          <w:numId w:val="1013"/>
        </w:numPr>
      </w:pPr>
      <w:r>
        <w:t xml:space="preserve">In the Available Packages section, click Import.</w:t>
      </w:r>
    </w:p>
    <w:p>
      <w:pPr>
        <w:numPr>
          <w:ilvl w:val="0"/>
          <w:numId w:val="1013"/>
        </w:numPr>
      </w:pPr>
      <w:r>
        <w:t xml:space="preserve">Click Add New, then locate and select the package file that you want to import.</w:t>
      </w:r>
    </w:p>
    <w:p>
      <w:pPr>
        <w:numPr>
          <w:ilvl w:val="0"/>
          <w:numId w:val="1013"/>
        </w:numPr>
      </w:pPr>
      <w:r>
        <w:t xml:space="preserve">Click OK.</w:t>
      </w:r>
    </w:p>
    <w:p>
      <w:pPr>
        <w:pStyle w:val="FirstParagraph"/>
      </w:pPr>
      <w:r>
        <w:t xml:space="preserve">The package file is displayed in the Available Packages section and is ready for installation.</w:t>
      </w:r>
    </w:p>
    <w:bookmarkEnd w:id="53"/>
    <w:bookmarkStart w:id="80"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Tax Risk Solution.</w:t>
      </w:r>
    </w:p>
    <w:p>
      <w:pPr>
        <w:numPr>
          <w:ilvl w:val="0"/>
          <w:numId w:val="1015"/>
        </w:numPr>
      </w:pPr>
      <w:r>
        <w:t xml:space="preserve">In the Available Packages section, select the package you want to map.</w:t>
      </w:r>
    </w:p>
    <w:p>
      <w:pPr>
        <w:numPr>
          <w:ilvl w:val="0"/>
          <w:numId w:val="1015"/>
        </w:numPr>
      </w:pPr>
      <w:r>
        <w:t xml:space="preserve">In the Actions column, click</w:t>
      </w:r>
      <w:r>
        <w:t xml:space="preserve"> </w:t>
      </w:r>
      <w:r>
        <w:drawing>
          <wp:inline>
            <wp:extent cx="171450" cy="171450"/>
            <wp:effectExtent b="0" l="0" r="0" t="0"/>
            <wp:docPr descr="" title="" id="55" name="Picture"/>
            <a:graphic>
              <a:graphicData uri="http://schemas.openxmlformats.org/drawingml/2006/picture">
                <pic:pic>
                  <pic:nvPicPr>
                    <pic:cNvPr descr="C:/Users/User/HelpArcher-to-pdf/HelpArcher-to-pdf-1/images/e6af1f2ae7fc69561eb0a3e9689fd2fa.png" id="56" name="Picture"/>
                    <pic:cNvPicPr>
                      <a:picLocks noChangeArrowheads="1" noChangeAspect="1"/>
                    </pic:cNvPicPr>
                  </pic:nvPicPr>
                  <pic:blipFill>
                    <a:blip r:embed="rId54"/>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 sin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16"/>
        </w:numPr>
      </w:pPr>
      <w:r>
        <w:t xml:space="preserve">On each tab of the Advanced Mapping Page, review the icons that are displayed next to each object name to determine which objects require you to map them manually.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8" name="Picture"/>
                  <a:graphic>
                    <a:graphicData uri="http://schemas.openxmlformats.org/drawingml/2006/picture">
                      <pic:pic>
                        <pic:nvPicPr>
                          <pic:cNvPr descr="C:/Users/User/HelpArcher-to-pdf/HelpArcher-to-pdf-1/images/85e21d3f9ec7c896c4dae09bc706d682.png" id="59" name="Picture"/>
                          <pic:cNvPicPr>
                            <a:picLocks noChangeArrowheads="1" noChangeAspect="1"/>
                          </pic:cNvPicPr>
                        </pic:nvPicPr>
                        <pic:blipFill>
                          <a:blip r:embed="rId57"/>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60" name="Picture"/>
                  <a:graphic>
                    <a:graphicData uri="http://schemas.openxmlformats.org/drawingml/2006/picture">
                      <pic:pic>
                        <pic:nvPicPr>
                          <pic:cNvPr descr="C:/Users/User/HelpArcher-to-pdf/HelpArcher-to-pdf-1/images/85e21d3f9ec7c896c4dae09bc706d682.png" id="61" name="Picture"/>
                          <pic:cNvPicPr>
                            <a:picLocks noChangeArrowheads="1" noChangeAspect="1"/>
                          </pic:cNvPicPr>
                        </pic:nvPicPr>
                        <pic:blipFill>
                          <a:blip r:embed="rId57"/>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63" name="Picture"/>
                  <a:graphic>
                    <a:graphicData uri="http://schemas.openxmlformats.org/drawingml/2006/picture">
                      <pic:pic>
                        <pic:nvPicPr>
                          <pic:cNvPr descr="C:/Users/User/HelpArcher-to-pdf/HelpArcher-to-pdf-1/images/cc73dff3906266180c4abdbe3fe3e512.png" id="64" name="Picture"/>
                          <pic:cNvPicPr>
                            <a:picLocks noChangeArrowheads="1" noChangeAspect="1"/>
                          </pic:cNvPicPr>
                        </pic:nvPicPr>
                        <pic:blipFill>
                          <a:blip r:embed="rId62"/>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6" name="Picture"/>
                  <a:graphic>
                    <a:graphicData uri="http://schemas.openxmlformats.org/drawingml/2006/picture">
                      <pic:pic>
                        <pic:nvPicPr>
                          <pic:cNvPr descr="C:/Users/User/HelpArcher-to-pdf/HelpArcher-to-pdf-1/images/a07d14b5cfcf193233effb39f5747a07.png" id="67" name="Picture"/>
                          <pic:cNvPicPr>
                            <a:picLocks noChangeArrowheads="1" noChangeAspect="1"/>
                          </pic:cNvPicPr>
                        </pic:nvPicPr>
                        <pic:blipFill>
                          <a:blip r:embed="rId65"/>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9" name="Picture"/>
                  <a:graphic>
                    <a:graphicData uri="http://schemas.openxmlformats.org/drawingml/2006/picture">
                      <pic:pic>
                        <pic:nvPicPr>
                          <pic:cNvPr descr="C:/Users/User/HelpArcher-to-pdf/HelpArcher-to-pdf-1/images/a6c9f9a1e9abd32010a49c9bcf69c864.png" id="70" name="Picture"/>
                          <pic:cNvPicPr>
                            <a:picLocks noChangeArrowheads="1" noChangeAspect="1"/>
                          </pic:cNvPicPr>
                        </pic:nvPicPr>
                        <pic:blipFill>
                          <a:blip r:embed="rId68"/>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17"/>
        </w:numPr>
      </w:pPr>
      <w:r>
        <w:t xml:space="preserve">For each object that requires remediation, do one of the following:</w:t>
      </w:r>
    </w:p>
    <w:p>
      <w:pPr>
        <w:numPr>
          <w:ilvl w:val="1"/>
          <w:numId w:val="1018"/>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18"/>
        </w:numPr>
      </w:pPr>
      <w:r>
        <w:t xml:space="preserve">To automatically map all objects in a tab that have different system IDs but the same object name as an object in the target instance, do the following:</w:t>
      </w:r>
    </w:p>
    <w:p>
      <w:pPr>
        <w:numPr>
          <w:ilvl w:val="0"/>
          <w:numId w:val="1019"/>
        </w:numPr>
      </w:pPr>
      <w:r>
        <w:t xml:space="preserve">In the toolbar, click Auto Map.</w:t>
      </w:r>
    </w:p>
    <w:p>
      <w:pPr>
        <w:numPr>
          <w:ilvl w:val="0"/>
          <w:numId w:val="1019"/>
        </w:numPr>
      </w:pPr>
      <w:r>
        <w:t xml:space="preserve">Select an option for mapping objects by name.</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0"/>
          <w:numId w:val="1019"/>
        </w:numPr>
      </w:pPr>
      <w:r>
        <w:t xml:space="preserve">Click OK.</w:t>
      </w:r>
    </w:p>
    <w:p>
      <w:pPr>
        <w:numPr>
          <w:ilvl w:val="0"/>
          <w:numId w:val="1000"/>
        </w:numPr>
      </w:pPr>
      <w:r>
        <w:t xml:space="preserve">The Confirmation dialog box opens with the total number of mappings performed. These mappings have not been committed to the database yet and can be modified in the Advanced Package Mapping page.</w:t>
      </w:r>
    </w:p>
    <w:p>
      <w:pPr>
        <w:numPr>
          <w:ilvl w:val="0"/>
          <w:numId w:val="1019"/>
        </w:numPr>
      </w:pPr>
      <w:r>
        <w:t xml:space="preserve">Click OK.</w:t>
      </w:r>
    </w:p>
    <w:p>
      <w:pPr>
        <w:numPr>
          <w:ilvl w:val="0"/>
          <w:numId w:val="1020"/>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71" name="Picture"/>
            <a:graphic>
              <a:graphicData uri="http://schemas.openxmlformats.org/drawingml/2006/picture">
                <pic:pic>
                  <pic:nvPicPr>
                    <pic:cNvPr descr="C:/Users/User/HelpArcher-to-pdf/HelpArcher-to-pdf-1/images/a6c9f9a1e9abd32010a49c9bcf69c864.png" id="72" name="Picture"/>
                    <pic:cNvPicPr>
                      <a:picLocks noChangeArrowheads="1" noChangeAspect="1"/>
                    </pic:cNvPicPr>
                  </pic:nvPicPr>
                  <pic:blipFill>
                    <a:blip r:embed="rId68"/>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73" name="Picture"/>
            <a:graphic>
              <a:graphicData uri="http://schemas.openxmlformats.org/drawingml/2006/picture">
                <pic:pic>
                  <pic:nvPicPr>
                    <pic:cNvPr descr="C:/Users/User/HelpArcher-to-pdf/HelpArcher-to-pdf-1/images/cc73dff3906266180c4abdbe3fe3e512.png" id="74" name="Picture"/>
                    <pic:cNvPicPr>
                      <a:picLocks noChangeArrowheads="1" noChangeAspect="1"/>
                    </pic:cNvPicPr>
                  </pic:nvPicPr>
                  <pic:blipFill>
                    <a:blip r:embed="rId62"/>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5" name="Picture"/>
            <a:graphic>
              <a:graphicData uri="http://schemas.openxmlformats.org/drawingml/2006/picture">
                <pic:pic>
                  <pic:nvPicPr>
                    <pic:cNvPr descr="C:/Users/User/HelpArcher-to-pdf/HelpArcher-to-pdf-1/images/a07d14b5cfcf193233effb39f5747a07.png" id="76" name="Picture"/>
                    <pic:cNvPicPr>
                      <a:picLocks noChangeArrowheads="1" noChangeAspect="1"/>
                    </pic:cNvPicPr>
                  </pic:nvPicPr>
                  <pic:blipFill>
                    <a:blip r:embed="rId65"/>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21"/>
        </w:numPr>
      </w:pPr>
      <w:r>
        <w:t xml:space="preserve">Verify that all other objects are mapped correctly.</w:t>
      </w:r>
    </w:p>
    <w:p>
      <w:pPr>
        <w:numPr>
          <w:ilvl w:val="0"/>
          <w:numId w:val="1021"/>
        </w:numPr>
      </w:pPr>
      <w:r>
        <w:t xml:space="preserve">(Optional)To save your mapping settings so that you can resume working later, see "Exporting and Importing Mapping Settings" in Archer Help.</w:t>
      </w:r>
    </w:p>
    <w:p>
      <w:pPr>
        <w:numPr>
          <w:ilvl w:val="0"/>
          <w:numId w:val="1021"/>
        </w:numPr>
      </w:pPr>
      <w:r>
        <w:t xml:space="preserve">Once you have reviewed and mapped all objects, click</w:t>
      </w:r>
      <w:r>
        <w:t xml:space="preserve"> </w:t>
      </w:r>
      <w:r>
        <w:drawing>
          <wp:inline>
            <wp:extent cx="190500" cy="190500"/>
            <wp:effectExtent b="0" l="0" r="0" t="0"/>
            <wp:docPr descr="" title="" id="78" name="Picture"/>
            <a:graphic>
              <a:graphicData uri="http://schemas.openxmlformats.org/drawingml/2006/picture">
                <pic:pic>
                  <pic:nvPicPr>
                    <pic:cNvPr descr="C:/Users/User/HelpArcher-to-pdf/HelpArcher-to-pdf-1/images/7a06d9cafbfdf9f338be4c83527d7d00.png" id="79" name="Picture"/>
                    <pic:cNvPicPr>
                      <a:picLocks noChangeArrowheads="1" noChangeAspect="1"/>
                    </pic:cNvPicPr>
                  </pic:nvPicPr>
                  <pic:blipFill>
                    <a:blip r:embed="rId77"/>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21"/>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80"/>
    <w:bookmarkStart w:id="83"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2"/>
        </w:numPr>
      </w:pPr>
      <w:r>
        <w:t xml:space="preserve">Go to the Install Packages page.</w:t>
      </w:r>
    </w:p>
    <w:p>
      <w:pPr>
        <w:numPr>
          <w:ilvl w:val="1"/>
          <w:numId w:val="1023"/>
        </w:numPr>
      </w:pPr>
      <w:r>
        <w:t xml:space="preserve">From the menu bar, click</w:t>
      </w:r>
      <w:r>
        <w:t xml:space="preserve"> </w:t>
      </w:r>
      <w:r>
        <w:drawing>
          <wp:inline>
            <wp:extent cx="269507" cy="250256"/>
            <wp:effectExtent b="0" l="0" r="0" t="0"/>
            <wp:docPr descr="" title="" id="81" name="Picture"/>
            <a:graphic>
              <a:graphicData uri="http://schemas.openxmlformats.org/drawingml/2006/picture">
                <pic:pic>
                  <pic:nvPicPr>
                    <pic:cNvPr descr="C:/Users/User/HelpArcher-to-pdf/HelpArcher-to-pdf-1/images/d5abb064f35d6a5b0eecfc4362999618.png" id="82" name="Picture"/>
                    <pic:cNvPicPr>
                      <a:picLocks noChangeArrowheads="1" noChangeAspect="1"/>
                    </pic:cNvPicPr>
                  </pic:nvPicPr>
                  <pic:blipFill>
                    <a:blip r:embed="rId50"/>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3"/>
        </w:numPr>
      </w:pPr>
      <w:r>
        <w:t xml:space="preserve">Under Application Builder, click Install Packages.</w:t>
      </w:r>
    </w:p>
    <w:p>
      <w:pPr>
        <w:numPr>
          <w:ilvl w:val="0"/>
          <w:numId w:val="1022"/>
        </w:numPr>
      </w:pPr>
      <w:r>
        <w:t xml:space="preserve">In the Available Packages section, locate the package file that you want to install, and click Install.</w:t>
      </w:r>
    </w:p>
    <w:p>
      <w:pPr>
        <w:numPr>
          <w:ilvl w:val="0"/>
          <w:numId w:val="1022"/>
        </w:numPr>
      </w:pPr>
      <w:r>
        <w:t xml:space="preserve">In the Configuration section, select the components of the package that you want to install.</w:t>
      </w:r>
    </w:p>
    <w:p>
      <w:pPr>
        <w:numPr>
          <w:ilvl w:val="1"/>
          <w:numId w:val="1024"/>
        </w:numPr>
      </w:pPr>
      <w:r>
        <w:t xml:space="preserve">To select all components, select the top-level checkbox.</w:t>
      </w:r>
    </w:p>
    <w:p>
      <w:pPr>
        <w:numPr>
          <w:ilvl w:val="1"/>
          <w:numId w:val="1024"/>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25"/>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6"/>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7"/>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27"/>
        </w:numPr>
      </w:pPr>
      <w:r>
        <w:t xml:space="preserve">Click Install.</w:t>
      </w:r>
    </w:p>
    <w:p>
      <w:pPr>
        <w:numPr>
          <w:ilvl w:val="0"/>
          <w:numId w:val="1027"/>
        </w:numPr>
      </w:pPr>
      <w:r>
        <w:t xml:space="preserve">Click OK.</w:t>
      </w:r>
    </w:p>
    <w:bookmarkEnd w:id="83"/>
    <w:bookmarkStart w:id="86" w:name="Task5Reviewthepackageinstallationlog"/>
    <w:p>
      <w:pPr>
        <w:pStyle w:val="Heading4"/>
      </w:pPr>
      <w:r>
        <w:t xml:space="preserve">Task 5: Review the package installation log</w:t>
      </w:r>
    </w:p>
    <w:p>
      <w:pPr>
        <w:numPr>
          <w:ilvl w:val="0"/>
          <w:numId w:val="1028"/>
        </w:numPr>
      </w:pPr>
      <w:r>
        <w:t xml:space="preserve">Go to the Package Installation Log tab of the Install Packages page.</w:t>
      </w:r>
    </w:p>
    <w:p>
      <w:pPr>
        <w:numPr>
          <w:ilvl w:val="1"/>
          <w:numId w:val="1029"/>
        </w:numPr>
      </w:pPr>
      <w:r>
        <w:t xml:space="preserve">From the menu bar, click</w:t>
      </w:r>
      <w:r>
        <w:t xml:space="preserve"> </w:t>
      </w:r>
      <w:r>
        <w:drawing>
          <wp:inline>
            <wp:extent cx="269507" cy="250256"/>
            <wp:effectExtent b="0" l="0" r="0" t="0"/>
            <wp:docPr descr="" title="" id="84" name="Picture"/>
            <a:graphic>
              <a:graphicData uri="http://schemas.openxmlformats.org/drawingml/2006/picture">
                <pic:pic>
                  <pic:nvPicPr>
                    <pic:cNvPr descr="C:/Users/User/HelpArcher-to-pdf/HelpArcher-to-pdf-1/images/d5abb064f35d6a5b0eecfc4362999618.png" id="85" name="Picture"/>
                    <pic:cNvPicPr>
                      <a:picLocks noChangeArrowheads="1" noChangeAspect="1"/>
                    </pic:cNvPicPr>
                  </pic:nvPicPr>
                  <pic:blipFill>
                    <a:blip r:embed="rId50"/>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9"/>
        </w:numPr>
      </w:pPr>
      <w:r>
        <w:t xml:space="preserve">Under Application Builder, click Install Packages.</w:t>
      </w:r>
    </w:p>
    <w:p>
      <w:pPr>
        <w:numPr>
          <w:ilvl w:val="1"/>
          <w:numId w:val="1029"/>
        </w:numPr>
      </w:pPr>
      <w:r>
        <w:t xml:space="preserve">Click the Package Installation Log tab.</w:t>
      </w:r>
    </w:p>
    <w:p>
      <w:pPr>
        <w:numPr>
          <w:ilvl w:val="0"/>
          <w:numId w:val="1028"/>
        </w:numPr>
      </w:pPr>
      <w:r>
        <w:t xml:space="preserve">Click the package that you want to view.</w:t>
      </w:r>
    </w:p>
    <w:p>
      <w:pPr>
        <w:numPr>
          <w:ilvl w:val="0"/>
          <w:numId w:val="1028"/>
        </w:numPr>
      </w:pPr>
      <w:r>
        <w:t xml:space="preserve">In the Package Installation Log page, in the Object Details section, click View All Warnings.</w:t>
      </w:r>
    </w:p>
    <w:bookmarkEnd w:id="86"/>
    <w:bookmarkEnd w:id="87"/>
    <w:bookmarkStart w:id="88" w:name="Manualchanges"/>
    <w:p>
      <w:pPr>
        <w:pStyle w:val="Heading3"/>
      </w:pPr>
      <w:r>
        <w:t xml:space="preserve">Manual changes</w:t>
      </w:r>
    </w:p>
    <w:p>
      <w:pPr>
        <w:pStyle w:val="FirstParagraph"/>
      </w:pPr>
      <w:r>
        <w:t xml:space="preserve">Based on organizational complexity within your environment, the following manual configurations will be required in the Company core application, where the Group Company optional ODA is not required.</w:t>
      </w:r>
    </w:p>
    <w:p>
      <w:pPr>
        <w:pStyle w:val="BodyText"/>
      </w:pPr>
      <w:r>
        <w:t xml:space="preserve">Fields that require configuration in the company application to use the HCL Tax Risk Management app-pack include:    </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Section</w:t>
            </w:r>
          </w:p>
        </w:tc>
        <w:tc>
          <w:tcPr/>
          <w:p>
            <w:pPr>
              <w:pStyle w:val="BodyText"/>
            </w:pPr>
            <w:r>
              <w:t xml:space="preserve">Field Name</w:t>
            </w:r>
          </w:p>
        </w:tc>
        <w:tc>
          <w:tcPr/>
          <w:p>
            <w:pPr>
              <w:pStyle w:val="BodyText"/>
            </w:pPr>
            <w:r>
              <w:t xml:space="preserve">Type</w:t>
            </w:r>
          </w:p>
        </w:tc>
        <w:tc>
          <w:tcPr/>
          <w:p>
            <w:pPr>
              <w:pStyle w:val="BodyText"/>
            </w:pPr>
            <w:r>
              <w:t xml:space="preserve">Remarks</w:t>
            </w:r>
          </w:p>
        </w:tc>
      </w:tr>
      <w:tr>
        <w:tc>
          <w:tcPr/>
          <w:p>
            <w:pPr>
              <w:pStyle w:val="BodyText"/>
            </w:pPr>
            <w:r>
              <w:t xml:space="preserve">General Information</w:t>
            </w:r>
          </w:p>
        </w:tc>
        <w:tc>
          <w:tcPr/>
          <w:p>
            <w:pPr>
              <w:pStyle w:val="BodyText"/>
            </w:pPr>
            <w:r>
              <w:t xml:space="preserve">Company Name</w:t>
            </w:r>
          </w:p>
        </w:tc>
        <w:tc>
          <w:tcPr/>
          <w:p>
            <w:pPr>
              <w:pStyle w:val="BodyText"/>
            </w:pPr>
            <w:r>
              <w:t xml:space="preserve">Text Field</w:t>
            </w:r>
          </w:p>
        </w:tc>
        <w:tc>
          <w:tcPr/>
          <w:p>
            <w:pPr>
              <w:pStyle w:val="BodyText"/>
            </w:pPr>
            <w:r>
              <w:t xml:space="preserve">Name of the company</w:t>
            </w:r>
          </w:p>
        </w:tc>
      </w:tr>
      <w:tr>
        <w:tc>
          <w:tcPr/>
          <w:p>
            <w:pPr>
              <w:pStyle w:val="BodyText"/>
            </w:pPr>
            <w:r>
              <w:t xml:space="preserve"> </w:t>
            </w:r>
          </w:p>
        </w:tc>
        <w:tc>
          <w:tcPr/>
          <w:p>
            <w:pPr>
              <w:pStyle w:val="BodyText"/>
            </w:pPr>
            <w:r>
              <w:t xml:space="preserve">Group Tax Coordinator</w:t>
            </w:r>
          </w:p>
        </w:tc>
        <w:tc>
          <w:tcPr/>
          <w:p>
            <w:pPr>
              <w:pStyle w:val="BodyText"/>
            </w:pPr>
            <w:r>
              <w:t xml:space="preserve">Manual Record Permission</w:t>
            </w:r>
          </w:p>
        </w:tc>
        <w:tc>
          <w:tcPr/>
          <w:p>
            <w:pPr>
              <w:pStyle w:val="BodyText"/>
            </w:pPr>
            <w:r>
              <w:t xml:space="preserve">This field displays the name of the assigned Group tax Coordinator. Needs to assign the Group name “Group Tax Coordinator” with read and update rights.</w:t>
            </w:r>
          </w:p>
        </w:tc>
      </w:tr>
      <w:tr>
        <w:tc>
          <w:tcPr>
            <w:vMerge w:val="restart"/>
          </w:tcPr>
          <w:p>
            <w:pPr>
              <w:pStyle w:val="BodyText"/>
            </w:pPr>
            <w:r>
              <w:t xml:space="preserve">Tax Information (Current Quarter)</w:t>
            </w:r>
          </w:p>
        </w:tc>
        <w:tc>
          <w:tcPr/>
          <w:p>
            <w:pPr>
              <w:pStyle w:val="BodyText"/>
            </w:pPr>
            <w:r>
              <w:t xml:space="preserve">Exposure Risk</w:t>
            </w:r>
          </w:p>
          <w:p>
            <w:pPr>
              <w:pStyle w:val="BodyText"/>
            </w:pPr>
            <w:r>
              <w:t xml:space="preserve"> </w:t>
            </w:r>
          </w:p>
        </w:tc>
        <w:tc>
          <w:tcPr/>
          <w:p>
            <w:pPr>
              <w:pStyle w:val="BodyText"/>
            </w:pPr>
            <w:r>
              <w:t xml:space="preserve">Calculated (Numeric)</w:t>
            </w:r>
          </w:p>
        </w:tc>
        <w:tc>
          <w:tcPr/>
          <w:p>
            <w:pPr>
              <w:pStyle w:val="BodyText"/>
            </w:pPr>
            <w:r>
              <w:t xml:space="preserve">SUM(REF([Sub Entities], [Exposure (Risk)]))</w:t>
            </w:r>
          </w:p>
          <w:p>
            <w:pPr>
              <w:pStyle w:val="BodyText"/>
            </w:pPr>
            <w:r>
              <w:t xml:space="preserve"> </w:t>
            </w:r>
          </w:p>
        </w:tc>
      </w:tr>
      <w:tr>
        <w:tc>
          <w:tcPr>
            <w:gridSpan w:val="1"/>
            <w:vMerge w:val="continue"/>
          </w:tcPr>
          <w:p>
            <w:pPr/>
          </w:p>
        </w:tc>
        <w:tc>
          <w:tcPr/>
          <w:p>
            <w:pPr>
              <w:pStyle w:val="BodyText"/>
            </w:pPr>
            <w:r>
              <w:t xml:space="preserve">Paid</w:t>
            </w:r>
          </w:p>
        </w:tc>
        <w:tc>
          <w:tcPr/>
          <w:p>
            <w:pPr>
              <w:pStyle w:val="BodyText"/>
            </w:pPr>
            <w:r>
              <w:t xml:space="preserve">Calculated (Numeric)</w:t>
            </w:r>
          </w:p>
        </w:tc>
        <w:tc>
          <w:tcPr/>
          <w:p>
            <w:pPr>
              <w:pStyle w:val="BodyText"/>
            </w:pPr>
            <w:r>
              <w:t xml:space="preserve">SUM(REF([Sub Entities],[Paid]))</w:t>
            </w:r>
          </w:p>
          <w:p>
            <w:pPr>
              <w:pStyle w:val="BodyText"/>
            </w:pPr>
            <w:r>
              <w:t xml:space="preserve"> </w:t>
            </w:r>
          </w:p>
        </w:tc>
      </w:tr>
      <w:tr>
        <w:tc>
          <w:tcPr>
            <w:gridSpan w:val="1"/>
            <w:vMerge w:val="continue"/>
          </w:tcPr>
          <w:p>
            <w:pPr/>
          </w:p>
        </w:tc>
        <w:tc>
          <w:tcPr/>
          <w:p>
            <w:pPr>
              <w:pStyle w:val="BodyText"/>
            </w:pPr>
            <w:r>
              <w:t xml:space="preserve">Provision Income Tax</w:t>
            </w:r>
          </w:p>
        </w:tc>
        <w:tc>
          <w:tcPr/>
          <w:p>
            <w:pPr>
              <w:pStyle w:val="BodyText"/>
            </w:pPr>
            <w:r>
              <w:t xml:space="preserve">Calculated (Numeric)</w:t>
            </w:r>
          </w:p>
        </w:tc>
        <w:tc>
          <w:tcPr/>
          <w:p>
            <w:pPr>
              <w:pStyle w:val="BodyText"/>
            </w:pPr>
            <w:r>
              <w:t xml:space="preserve">SUM(REF([Sub Entities],[Provision Inc Tax]))</w:t>
            </w:r>
          </w:p>
        </w:tc>
      </w:tr>
      <w:tr>
        <w:tc>
          <w:tcPr>
            <w:gridSpan w:val="1"/>
            <w:vMerge w:val="continue"/>
          </w:tcPr>
          <w:p>
            <w:pPr/>
          </w:p>
        </w:tc>
        <w:tc>
          <w:tcPr/>
          <w:p>
            <w:pPr>
              <w:pStyle w:val="BodyText"/>
            </w:pPr>
            <w:r>
              <w:t xml:space="preserve">Provision Indirect</w:t>
            </w:r>
          </w:p>
        </w:tc>
        <w:tc>
          <w:tcPr/>
          <w:p>
            <w:pPr>
              <w:pStyle w:val="BodyText"/>
            </w:pPr>
            <w:r>
              <w:t xml:space="preserve">Calculated (Numeric)</w:t>
            </w:r>
          </w:p>
        </w:tc>
        <w:tc>
          <w:tcPr/>
          <w:p>
            <w:pPr>
              <w:pStyle w:val="BodyText"/>
            </w:pPr>
            <w:r>
              <w:t xml:space="preserve">SUM(REF([Sub Entities],[Provision Indirect]))</w:t>
            </w:r>
          </w:p>
        </w:tc>
      </w:tr>
      <w:tr>
        <w:tc>
          <w:tcPr>
            <w:gridSpan w:val="1"/>
            <w:vMerge w:val="continue"/>
          </w:tcPr>
          <w:p>
            <w:pPr/>
          </w:p>
        </w:tc>
        <w:tc>
          <w:tcPr/>
          <w:p>
            <w:pPr>
              <w:pStyle w:val="BodyText"/>
            </w:pPr>
            <w:r>
              <w:t xml:space="preserve">Provision Other</w:t>
            </w:r>
          </w:p>
        </w:tc>
        <w:tc>
          <w:tcPr/>
          <w:p>
            <w:pPr>
              <w:pStyle w:val="BodyText"/>
            </w:pPr>
            <w:r>
              <w:t xml:space="preserve">Calculated (Numeric)</w:t>
            </w:r>
          </w:p>
        </w:tc>
        <w:tc>
          <w:tcPr/>
          <w:p>
            <w:pPr>
              <w:pStyle w:val="BodyText"/>
            </w:pPr>
            <w:r>
              <w:t xml:space="preserve">SUM(REF([Sub Entities],[Provision Other]))</w:t>
            </w:r>
          </w:p>
        </w:tc>
      </w:tr>
      <w:tr>
        <w:tc>
          <w:tcPr>
            <w:gridSpan w:val="1"/>
            <w:vMerge w:val="continue"/>
          </w:tcPr>
          <w:p>
            <w:pPr/>
          </w:p>
        </w:tc>
        <w:tc>
          <w:tcPr/>
          <w:p>
            <w:pPr>
              <w:pStyle w:val="BodyText"/>
            </w:pPr>
            <w:r>
              <w:t xml:space="preserve">Cont.Liability Tax Claims</w:t>
            </w:r>
          </w:p>
          <w:p>
            <w:pPr>
              <w:pStyle w:val="BodyText"/>
            </w:pPr>
            <w:r>
              <w:t xml:space="preserve"> </w:t>
            </w:r>
          </w:p>
        </w:tc>
        <w:tc>
          <w:tcPr/>
          <w:p>
            <w:pPr>
              <w:pStyle w:val="BodyText"/>
            </w:pPr>
            <w:r>
              <w:t xml:space="preserve">Calculated (Numeric)</w:t>
            </w:r>
          </w:p>
        </w:tc>
        <w:tc>
          <w:tcPr/>
          <w:p>
            <w:pPr>
              <w:pStyle w:val="BodyText"/>
            </w:pPr>
            <w:r>
              <w:t xml:space="preserve">SUM(REF([Sub Entities],[Cont.liab. Tax claims]))</w:t>
            </w:r>
          </w:p>
        </w:tc>
      </w:tr>
      <w:tr>
        <w:tc>
          <w:tcPr>
            <w:gridSpan w:val="1"/>
            <w:vMerge w:val="continue"/>
          </w:tcPr>
          <w:p>
            <w:pPr/>
          </w:p>
        </w:tc>
        <w:tc>
          <w:tcPr/>
          <w:p>
            <w:pPr>
              <w:pStyle w:val="BodyText"/>
            </w:pPr>
            <w:r>
              <w:t xml:space="preserve">Remote</w:t>
            </w:r>
          </w:p>
        </w:tc>
        <w:tc>
          <w:tcPr/>
          <w:p>
            <w:pPr>
              <w:pStyle w:val="BodyText"/>
            </w:pPr>
            <w:r>
              <w:t xml:space="preserve">Calculated (Numeric)</w:t>
            </w:r>
          </w:p>
        </w:tc>
        <w:tc>
          <w:tcPr/>
          <w:p>
            <w:pPr>
              <w:pStyle w:val="BodyText"/>
            </w:pPr>
            <w:r>
              <w:t xml:space="preserve">SUM(REF([Sub Entities],[Remote]))</w:t>
            </w:r>
          </w:p>
          <w:p>
            <w:pPr>
              <w:pStyle w:val="BodyText"/>
            </w:pPr>
            <w:r>
              <w:t xml:space="preserve"> </w:t>
            </w:r>
          </w:p>
        </w:tc>
      </w:tr>
      <w:tr>
        <w:tc>
          <w:tcPr>
            <w:gridSpan w:val="1"/>
            <w:vMerge w:val="continue"/>
          </w:tcPr>
          <w:p>
            <w:pPr/>
          </w:p>
        </w:tc>
        <w:tc>
          <w:tcPr/>
          <w:p>
            <w:pPr>
              <w:pStyle w:val="BodyText"/>
            </w:pPr>
            <w:r>
              <w:t xml:space="preserve">Control</w:t>
            </w:r>
          </w:p>
        </w:tc>
        <w:tc>
          <w:tcPr/>
          <w:p>
            <w:pPr>
              <w:pStyle w:val="BodyText"/>
            </w:pPr>
            <w:r>
              <w:t xml:space="preserve">Calculated (Numeric)</w:t>
            </w:r>
          </w:p>
        </w:tc>
        <w:tc>
          <w:tcPr/>
          <w:p>
            <w:pPr>
              <w:pStyle w:val="BodyText"/>
            </w:pPr>
            <w:r>
              <w:t xml:space="preserve">SUM(REF([Sub Entities],[Control]))</w:t>
            </w:r>
          </w:p>
        </w:tc>
      </w:tr>
      <w:tr>
        <w:tc>
          <w:tcPr>
            <w:gridSpan w:val="1"/>
            <w:vMerge w:val="continue"/>
          </w:tcPr>
          <w:p>
            <w:pPr/>
          </w:p>
        </w:tc>
        <w:tc>
          <w:tcPr/>
          <w:p>
            <w:pPr>
              <w:pStyle w:val="BodyText"/>
            </w:pPr>
            <w:r>
              <w:t xml:space="preserve">Provision including Tax, Indirect and Other</w:t>
            </w:r>
          </w:p>
          <w:p>
            <w:pPr>
              <w:pStyle w:val="BodyText"/>
            </w:pPr>
            <w:r>
              <w:t xml:space="preserve"> </w:t>
            </w:r>
          </w:p>
        </w:tc>
        <w:tc>
          <w:tcPr/>
          <w:p>
            <w:pPr>
              <w:pStyle w:val="BodyText"/>
            </w:pPr>
            <w:r>
              <w:t xml:space="preserve">Calculated (Numeric)</w:t>
            </w:r>
          </w:p>
        </w:tc>
        <w:tc>
          <w:tcPr/>
          <w:p>
            <w:pPr>
              <w:pStyle w:val="BodyText"/>
            </w:pPr>
            <w:r>
              <w:t xml:space="preserve">SUM ( REF ([Sub Entities], [Provision including Tax, Indirect and Other]))</w:t>
            </w:r>
          </w:p>
        </w:tc>
      </w:tr>
      <w:tr>
        <w:tc>
          <w:tcPr>
            <w:vMerge w:val="restart"/>
          </w:tcPr>
          <w:p>
            <w:pPr>
              <w:pStyle w:val="BodyText"/>
            </w:pPr>
            <w:r>
              <w:t xml:space="preserve">Tax Information (Current Year)</w:t>
            </w:r>
          </w:p>
        </w:tc>
        <w:tc>
          <w:tcPr/>
          <w:p>
            <w:pPr>
              <w:pStyle w:val="BodyText"/>
            </w:pPr>
            <w:r>
              <w:t xml:space="preserve">Total Exposure (Risk)</w:t>
            </w:r>
          </w:p>
        </w:tc>
        <w:tc>
          <w:tcPr/>
          <w:p>
            <w:pPr>
              <w:pStyle w:val="BodyText"/>
            </w:pPr>
            <w:r>
              <w:t xml:space="preserve">Calculated (Numeric)</w:t>
            </w:r>
          </w:p>
        </w:tc>
        <w:tc>
          <w:tcPr/>
          <w:p>
            <w:pPr>
              <w:pStyle w:val="BodyText"/>
            </w:pPr>
            <w:r>
              <w:t xml:space="preserve">SUM (REF([Sub Entities],[Total Exposure (Risk)]))</w:t>
            </w:r>
          </w:p>
        </w:tc>
      </w:tr>
      <w:tr>
        <w:tc>
          <w:tcPr>
            <w:gridSpan w:val="1"/>
            <w:vMerge w:val="continue"/>
          </w:tcPr>
          <w:p>
            <w:pPr/>
          </w:p>
        </w:tc>
        <w:tc>
          <w:tcPr/>
          <w:p>
            <w:pPr>
              <w:pStyle w:val="BodyText"/>
            </w:pPr>
            <w:r>
              <w:t xml:space="preserve">Total Paid</w:t>
            </w:r>
          </w:p>
          <w:p>
            <w:pPr>
              <w:pStyle w:val="BodyText"/>
            </w:pPr>
            <w:r>
              <w:t xml:space="preserve"> </w:t>
            </w:r>
          </w:p>
        </w:tc>
        <w:tc>
          <w:tcPr/>
          <w:p>
            <w:pPr>
              <w:pStyle w:val="BodyText"/>
            </w:pPr>
            <w:r>
              <w:t xml:space="preserve">Calculated (Numeric)</w:t>
            </w:r>
          </w:p>
        </w:tc>
        <w:tc>
          <w:tcPr/>
          <w:p>
            <w:pPr>
              <w:pStyle w:val="BodyText"/>
            </w:pPr>
            <w:r>
              <w:t xml:space="preserve">SUM (REF([Sub Entities],[Total Paid]))</w:t>
            </w:r>
          </w:p>
        </w:tc>
      </w:tr>
      <w:tr>
        <w:tc>
          <w:tcPr>
            <w:gridSpan w:val="1"/>
            <w:vMerge w:val="continue"/>
          </w:tcPr>
          <w:p>
            <w:pPr/>
          </w:p>
        </w:tc>
        <w:tc>
          <w:tcPr/>
          <w:p>
            <w:pPr>
              <w:pStyle w:val="BodyText"/>
            </w:pPr>
            <w:r>
              <w:t xml:space="preserve">Total Provision Income Tax</w:t>
            </w:r>
          </w:p>
          <w:p>
            <w:pPr>
              <w:pStyle w:val="BodyText"/>
            </w:pPr>
            <w:r>
              <w:t xml:space="preserve"> </w:t>
            </w:r>
          </w:p>
        </w:tc>
        <w:tc>
          <w:tcPr/>
          <w:p>
            <w:pPr>
              <w:pStyle w:val="BodyText"/>
            </w:pPr>
            <w:r>
              <w:t xml:space="preserve">Calculated (Numeric)</w:t>
            </w:r>
          </w:p>
        </w:tc>
        <w:tc>
          <w:tcPr/>
          <w:p>
            <w:pPr>
              <w:pStyle w:val="BodyText"/>
            </w:pPr>
            <w:r>
              <w:t xml:space="preserve">SUM (REF([Sub Entities],[Total Provision Inc Tax]))</w:t>
            </w:r>
          </w:p>
        </w:tc>
      </w:tr>
      <w:tr>
        <w:tc>
          <w:tcPr>
            <w:gridSpan w:val="1"/>
            <w:vMerge w:val="continue"/>
          </w:tcPr>
          <w:p>
            <w:pPr/>
          </w:p>
        </w:tc>
        <w:tc>
          <w:tcPr/>
          <w:p>
            <w:pPr>
              <w:pStyle w:val="BodyText"/>
            </w:pPr>
            <w:r>
              <w:t xml:space="preserve">Total Provision Indirect</w:t>
            </w:r>
          </w:p>
          <w:p>
            <w:pPr>
              <w:pStyle w:val="BodyText"/>
            </w:pPr>
            <w:r>
              <w:t xml:space="preserve"> </w:t>
            </w:r>
          </w:p>
        </w:tc>
        <w:tc>
          <w:tcPr/>
          <w:p>
            <w:pPr>
              <w:pStyle w:val="BodyText"/>
            </w:pPr>
            <w:r>
              <w:t xml:space="preserve">Calculated (Numeric)</w:t>
            </w:r>
          </w:p>
        </w:tc>
        <w:tc>
          <w:tcPr/>
          <w:p>
            <w:pPr>
              <w:pStyle w:val="BodyText"/>
            </w:pPr>
            <w:r>
              <w:t xml:space="preserve">SUM (REF([Sub Entities],[Total Provision Indirect]))</w:t>
            </w:r>
          </w:p>
        </w:tc>
      </w:tr>
      <w:tr>
        <w:tc>
          <w:tcPr>
            <w:gridSpan w:val="1"/>
            <w:vMerge w:val="continue"/>
          </w:tcPr>
          <w:p>
            <w:pPr/>
          </w:p>
        </w:tc>
        <w:tc>
          <w:tcPr/>
          <w:p>
            <w:pPr>
              <w:pStyle w:val="BodyText"/>
            </w:pPr>
            <w:r>
              <w:t xml:space="preserve">Total Provision Other</w:t>
            </w:r>
          </w:p>
          <w:p>
            <w:pPr>
              <w:pStyle w:val="BodyText"/>
            </w:pPr>
            <w:r>
              <w:t xml:space="preserve"> </w:t>
            </w:r>
          </w:p>
        </w:tc>
        <w:tc>
          <w:tcPr/>
          <w:p>
            <w:pPr>
              <w:pStyle w:val="BodyText"/>
            </w:pPr>
            <w:r>
              <w:t xml:space="preserve">Calculated (Numeric)</w:t>
            </w:r>
          </w:p>
        </w:tc>
        <w:tc>
          <w:tcPr/>
          <w:p>
            <w:pPr>
              <w:pStyle w:val="BodyText"/>
            </w:pPr>
            <w:r>
              <w:t xml:space="preserve">SUM (REF([Sub Entities],[Total Provision Other]))</w:t>
            </w:r>
          </w:p>
          <w:p>
            <w:pPr>
              <w:pStyle w:val="BodyText"/>
            </w:pPr>
            <w:r>
              <w:t xml:space="preserve"> </w:t>
            </w:r>
          </w:p>
        </w:tc>
      </w:tr>
      <w:tr>
        <w:tc>
          <w:tcPr>
            <w:gridSpan w:val="1"/>
            <w:vMerge w:val="continue"/>
          </w:tcPr>
          <w:p>
            <w:pPr/>
          </w:p>
        </w:tc>
        <w:tc>
          <w:tcPr/>
          <w:p>
            <w:pPr>
              <w:pStyle w:val="BodyText"/>
            </w:pPr>
            <w:r>
              <w:t xml:space="preserve">Total Contingent Liability Tax Claims</w:t>
            </w:r>
          </w:p>
          <w:p>
            <w:pPr>
              <w:pStyle w:val="BodyText"/>
            </w:pPr>
            <w:r>
              <w:t xml:space="preserve"> </w:t>
            </w:r>
          </w:p>
        </w:tc>
        <w:tc>
          <w:tcPr/>
          <w:p>
            <w:pPr>
              <w:pStyle w:val="BodyText"/>
            </w:pPr>
            <w:r>
              <w:t xml:space="preserve">Calculated (Numeric)</w:t>
            </w:r>
          </w:p>
        </w:tc>
        <w:tc>
          <w:tcPr/>
          <w:p>
            <w:pPr>
              <w:pStyle w:val="BodyText"/>
            </w:pPr>
            <w:r>
              <w:t xml:space="preserve">SUM (REF([Sub Entities],[Total Cont.liab. Tax claims]))</w:t>
            </w:r>
          </w:p>
        </w:tc>
      </w:tr>
      <w:tr>
        <w:tc>
          <w:tcPr>
            <w:gridSpan w:val="1"/>
            <w:vMerge w:val="continue"/>
          </w:tcPr>
          <w:p>
            <w:pPr/>
          </w:p>
        </w:tc>
        <w:tc>
          <w:tcPr/>
          <w:p>
            <w:pPr>
              <w:pStyle w:val="BodyText"/>
            </w:pPr>
            <w:r>
              <w:t xml:space="preserve">Total Remote</w:t>
            </w:r>
          </w:p>
        </w:tc>
        <w:tc>
          <w:tcPr/>
          <w:p>
            <w:pPr>
              <w:pStyle w:val="BodyText"/>
            </w:pPr>
            <w:r>
              <w:t xml:space="preserve">Calculated (Numeric)</w:t>
            </w:r>
          </w:p>
        </w:tc>
        <w:tc>
          <w:tcPr/>
          <w:p>
            <w:pPr>
              <w:pStyle w:val="BodyText"/>
            </w:pPr>
            <w:r>
              <w:t xml:space="preserve">SUM (REF([Sub Entities],[Total Remote]))</w:t>
            </w:r>
          </w:p>
          <w:p>
            <w:pPr>
              <w:pStyle w:val="BodyText"/>
            </w:pPr>
            <w:r>
              <w:t xml:space="preserve"> </w:t>
            </w:r>
          </w:p>
        </w:tc>
      </w:tr>
      <w:tr>
        <w:tc>
          <w:tcPr>
            <w:gridSpan w:val="1"/>
            <w:vMerge w:val="continue"/>
          </w:tcPr>
          <w:p>
            <w:pPr/>
          </w:p>
        </w:tc>
        <w:tc>
          <w:tcPr/>
          <w:p>
            <w:pPr>
              <w:pStyle w:val="BodyText"/>
            </w:pPr>
            <w:r>
              <w:t xml:space="preserve">Total Control</w:t>
            </w:r>
          </w:p>
        </w:tc>
        <w:tc>
          <w:tcPr/>
          <w:p>
            <w:pPr>
              <w:pStyle w:val="BodyText"/>
            </w:pPr>
            <w:r>
              <w:t xml:space="preserve">Calculated (Numeric)</w:t>
            </w:r>
          </w:p>
        </w:tc>
        <w:tc>
          <w:tcPr/>
          <w:p>
            <w:pPr>
              <w:pStyle w:val="BodyText"/>
            </w:pPr>
            <w:r>
              <w:t xml:space="preserve">SUM(REF([Sub Entities],[Paid]))</w:t>
            </w:r>
          </w:p>
        </w:tc>
      </w:tr>
      <w:tr>
        <w:tc>
          <w:tcPr>
            <w:gridSpan w:val="1"/>
            <w:vMerge w:val="continue"/>
          </w:tcPr>
          <w:p>
            <w:pPr/>
          </w:p>
        </w:tc>
        <w:tc>
          <w:tcPr/>
          <w:p>
            <w:pPr>
              <w:pStyle w:val="BodyText"/>
            </w:pPr>
            <w:r>
              <w:t xml:space="preserve">Total Provision including Tax, Indirect and Other</w:t>
            </w:r>
          </w:p>
          <w:p>
            <w:pPr>
              <w:pStyle w:val="BodyText"/>
            </w:pPr>
            <w:r>
              <w:t xml:space="preserve"> </w:t>
            </w:r>
          </w:p>
        </w:tc>
        <w:tc>
          <w:tcPr/>
          <w:p>
            <w:pPr>
              <w:pStyle w:val="BodyText"/>
            </w:pPr>
            <w:r>
              <w:t xml:space="preserve">Calculated (Numeric)</w:t>
            </w:r>
          </w:p>
        </w:tc>
        <w:tc>
          <w:tcPr/>
          <w:p>
            <w:pPr>
              <w:pStyle w:val="BodyText"/>
            </w:pPr>
            <w:r>
              <w:t xml:space="preserve">SUM (REF([Sub Entities],[Total Control]))</w:t>
            </w:r>
          </w:p>
          <w:p>
            <w:pPr>
              <w:pStyle w:val="BodyText"/>
            </w:pPr>
            <w:r>
              <w:t xml:space="preserve"> </w:t>
            </w:r>
          </w:p>
        </w:tc>
      </w:tr>
      <w:tr>
        <w:tc>
          <w:tcPr/>
          <w:p>
            <w:pPr>
              <w:pStyle w:val="BodyText"/>
            </w:pPr>
            <w:r>
              <w:t xml:space="preserve">Sub Entities</w:t>
            </w:r>
          </w:p>
        </w:tc>
        <w:tc>
          <w:tcPr/>
          <w:p>
            <w:pPr>
              <w:pStyle w:val="BodyText"/>
            </w:pPr>
            <w:r>
              <w:t xml:space="preserve">Sub Entities</w:t>
            </w:r>
          </w:p>
        </w:tc>
        <w:tc>
          <w:tcPr/>
          <w:p>
            <w:pPr>
              <w:pStyle w:val="BodyText"/>
            </w:pPr>
            <w:r>
              <w:t xml:space="preserve">Cross Reference</w:t>
            </w:r>
          </w:p>
        </w:tc>
        <w:tc>
          <w:tcPr/>
          <w:p>
            <w:pPr>
              <w:pStyle w:val="BodyText"/>
            </w:pPr>
            <w:r>
              <w:t xml:space="preserve">This will be the cross-reference field of the application Entity.</w:t>
            </w:r>
          </w:p>
          <w:p>
            <w:pPr>
              <w:pStyle w:val="BodyText"/>
            </w:pPr>
            <w:r>
              <w:t xml:space="preserve"> </w:t>
            </w:r>
          </w:p>
        </w:tc>
      </w:tr>
    </w:tbl>
    <w:bookmarkEnd w:id="88"/>
    <w:bookmarkEnd w:id="89"/>
    <w:bookmarkEnd w:id="90"/>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1"/>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77" Target="media/rId77.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42" Target="https://community.rsa.com/community/products/archer-grc/exchange/documentation-downloads" TargetMode="External" /></Relationships>
</file>

<file path=word/_rels/footnotes.xml.rels><?xml version="1.0" encoding="UTF-8"?><Relationships xmlns="http://schemas.openxmlformats.org/package/2006/relationships"><Relationship Type="http://schemas.openxmlformats.org/officeDocument/2006/relationships/hyperlink" Id="rId42" Target="https://community.rsa.com/community/products/archer-grc/exchange/documentation-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2025-03-24T15:58:28Z</dcterms:created>
  <dcterms:modified xsi:type="dcterms:W3CDTF">2025-03-24T15:58:28Z</dcterms:modified>
</cp:coreProperties>
</file>

<file path=docProps/custom.xml><?xml version="1.0" encoding="utf-8"?>
<Properties xmlns="http://schemas.openxmlformats.org/officeDocument/2006/custom-properties" xmlns:vt="http://schemas.openxmlformats.org/officeDocument/2006/docPropsVTypes"/>
</file>