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65.png" ContentType="image/png"/>
  <Override PartName="/word/media/rId45.png" ContentType="image/png"/>
  <Override PartName="/word/media/rId53.png" ContentType="image/png"/>
  <Override PartName="/word/media/rId56.png" ContentType="image/png"/>
  <Override PartName="/word/media/rId50.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4" w:name="mc-main-content"/>
    <w:bookmarkStart w:id="83" w:name="merrick-solutions-workflow-planner-1"/>
    <w:p>
      <w:pPr>
        <w:pStyle w:val="Heading1"/>
      </w:pPr>
      <w:r>
        <w:t xml:space="preserve">Merrick Solutions Workflow Planner</w:t>
      </w:r>
    </w:p>
    <w:p>
      <w:pPr>
        <w:pStyle w:val="FirstParagraph"/>
      </w:pPr>
      <w:r>
        <w:t xml:space="preserve">The Merrick Solutions Workflow Planner App-Pack assists in prioritizing build order based on the build effort to add Advanced Workflow (AWF) to existing or new applications. The assessment questions and weightings provide a consistent evaluation of effort.  Weightings are based on a single configuration. The application allows you to list out applications/questionnaires by name to ease report generation and generate side by side comparisons of build efforts. Application reports encompass both the rating process as well as displaying the results in recommended build order. This offering is intended for Archer Admins for use in the Development environment.</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KeyBenefitsandFeatures">
        <w:r>
          <w:rPr>
            <w:rStyle w:val="Hyperlink"/>
          </w:rPr>
          <w:t xml:space="preserve">Key Benefits and Features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2"/>
          <w:numId w:val="1003"/>
        </w:numPr>
      </w:pPr>
      <w:hyperlink w:anchor="ImpactedUseCases">
        <w:r>
          <w:rPr>
            <w:rStyle w:val="Hyperlink"/>
          </w:rPr>
          <w:t xml:space="preserve">Impacted Use Case(s)</w:t>
        </w:r>
      </w:hyperlink>
    </w:p>
    <w:p>
      <w:pPr>
        <w:pStyle w:val="Compact"/>
        <w:numPr>
          <w:ilvl w:val="1"/>
          <w:numId w:val="1002"/>
        </w:numPr>
      </w:pPr>
      <w:hyperlink w:anchor="Swimlanediagram">
        <w:r>
          <w:rPr>
            <w:rStyle w:val="Hyperlink"/>
          </w:rPr>
          <w:t xml:space="preserve">Swim lane diagram</w:t>
        </w:r>
      </w:hyperlink>
    </w:p>
    <w:p>
      <w:pPr>
        <w:pStyle w:val="Compact"/>
        <w:numPr>
          <w:ilvl w:val="1"/>
          <w:numId w:val="1002"/>
        </w:numPr>
      </w:pPr>
      <w:hyperlink w:anchor="Applications">
        <w:r>
          <w:rPr>
            <w:rStyle w:val="Hyperlink"/>
          </w:rPr>
          <w:t xml:space="preserve">Applications</w:t>
        </w:r>
      </w:hyperlink>
    </w:p>
    <w:p>
      <w:pPr>
        <w:pStyle w:val="Compact"/>
        <w:numPr>
          <w:ilvl w:val="1"/>
          <w:numId w:val="1002"/>
        </w:numPr>
      </w:pPr>
      <w:hyperlink w:anchor="PersonasandAccessRoles">
        <w:r>
          <w:rPr>
            <w:rStyle w:val="Hyperlink"/>
          </w:rPr>
          <w:t xml:space="preserve">Personas and Access Roles</w:t>
        </w:r>
      </w:hyperlink>
    </w:p>
    <w:p>
      <w:pPr>
        <w:pStyle w:val="Compact"/>
        <w:numPr>
          <w:ilvl w:val="0"/>
          <w:numId w:val="1001"/>
        </w:numPr>
      </w:pPr>
      <w:hyperlink w:anchor="Xf4c8f31fe20cdd0e027f79189722b98cfbdf130">
        <w:r>
          <w:rPr>
            <w:rStyle w:val="Hyperlink"/>
          </w:rPr>
          <w:t xml:space="preserve">Installing Merrick Solutions Workflow Planner App-Pack</w:t>
        </w:r>
      </w:hyperlink>
    </w:p>
    <w:p>
      <w:pPr>
        <w:pStyle w:val="Compact"/>
        <w:numPr>
          <w:ilvl w:val="1"/>
          <w:numId w:val="1004"/>
        </w:numPr>
      </w:pPr>
      <w:hyperlink w:anchor="Installationoverview">
        <w:r>
          <w:rPr>
            <w:rStyle w:val="Hyperlink"/>
          </w:rPr>
          <w:t xml:space="preserve">Installation overview</w:t>
        </w:r>
      </w:hyperlink>
    </w:p>
    <w:p>
      <w:pPr>
        <w:pStyle w:val="Compact"/>
        <w:numPr>
          <w:ilvl w:val="2"/>
          <w:numId w:val="1005"/>
        </w:numPr>
      </w:pPr>
      <w:hyperlink w:anchor="Step1Preparefortheinstallation">
        <w:r>
          <w:rPr>
            <w:rStyle w:val="Hyperlink"/>
          </w:rPr>
          <w:t xml:space="preserve">Step 1: Prepare for the installation</w:t>
        </w:r>
      </w:hyperlink>
    </w:p>
    <w:p>
      <w:pPr>
        <w:pStyle w:val="Compact"/>
        <w:numPr>
          <w:ilvl w:val="2"/>
          <w:numId w:val="1005"/>
        </w:numPr>
      </w:pPr>
      <w:hyperlink w:anchor="Step2Installthepackage">
        <w:r>
          <w:rPr>
            <w:rStyle w:val="Hyperlink"/>
          </w:rPr>
          <w:t xml:space="preserve">Step 2: Install the package</w:t>
        </w:r>
      </w:hyperlink>
    </w:p>
    <w:p>
      <w:pPr>
        <w:pStyle w:val="Compact"/>
        <w:numPr>
          <w:ilvl w:val="2"/>
          <w:numId w:val="1005"/>
        </w:numPr>
      </w:pPr>
      <w:hyperlink w:anchor="Step3TesttheInstallation">
        <w:r>
          <w:rPr>
            <w:rStyle w:val="Hyperlink"/>
          </w:rPr>
          <w:t xml:space="preserve">Step 3: Test the Installation</w:t>
        </w:r>
      </w:hyperlink>
    </w:p>
    <w:p>
      <w:pPr>
        <w:pStyle w:val="Compact"/>
        <w:numPr>
          <w:ilvl w:val="1"/>
          <w:numId w:val="1004"/>
        </w:numPr>
      </w:pPr>
      <w:hyperlink w:anchor="InstallingthePackage">
        <w:r>
          <w:rPr>
            <w:rStyle w:val="Hyperlink"/>
          </w:rPr>
          <w:t xml:space="preserve">Installing the Package</w:t>
        </w:r>
      </w:hyperlink>
    </w:p>
    <w:p>
      <w:pPr>
        <w:pStyle w:val="Compact"/>
        <w:numPr>
          <w:ilvl w:val="2"/>
          <w:numId w:val="1006"/>
        </w:numPr>
      </w:pPr>
      <w:hyperlink w:anchor="Task1Backupyourdatabase">
        <w:r>
          <w:rPr>
            <w:rStyle w:val="Hyperlink"/>
          </w:rPr>
          <w:t xml:space="preserve">Task 1: Back up your database</w:t>
        </w:r>
      </w:hyperlink>
    </w:p>
    <w:p>
      <w:pPr>
        <w:pStyle w:val="Compact"/>
        <w:numPr>
          <w:ilvl w:val="2"/>
          <w:numId w:val="1006"/>
        </w:numPr>
      </w:pPr>
      <w:hyperlink w:anchor="Task2Importthepackage">
        <w:r>
          <w:rPr>
            <w:rStyle w:val="Hyperlink"/>
          </w:rPr>
          <w:t xml:space="preserve">Task 2: Import the package</w:t>
        </w:r>
      </w:hyperlink>
    </w:p>
    <w:p>
      <w:pPr>
        <w:pStyle w:val="Compact"/>
        <w:numPr>
          <w:ilvl w:val="2"/>
          <w:numId w:val="1006"/>
        </w:numPr>
      </w:pPr>
      <w:hyperlink w:anchor="Task3Mapobjectsinthepackage">
        <w:r>
          <w:rPr>
            <w:rStyle w:val="Hyperlink"/>
          </w:rPr>
          <w:t xml:space="preserve">Task 3: Map objects in the package</w:t>
        </w:r>
      </w:hyperlink>
    </w:p>
    <w:p>
      <w:pPr>
        <w:pStyle w:val="Compact"/>
        <w:numPr>
          <w:ilvl w:val="2"/>
          <w:numId w:val="1006"/>
        </w:numPr>
      </w:pPr>
      <w:hyperlink w:anchor="Task4Installthepackage">
        <w:r>
          <w:rPr>
            <w:rStyle w:val="Hyperlink"/>
          </w:rPr>
          <w:t xml:space="preserve">Task 4: Install the package</w:t>
        </w:r>
      </w:hyperlink>
    </w:p>
    <w:p>
      <w:pPr>
        <w:pStyle w:val="Compact"/>
        <w:numPr>
          <w:ilvl w:val="2"/>
          <w:numId w:val="1006"/>
        </w:numPr>
      </w:pPr>
      <w:hyperlink w:anchor="Task5Reviewthepackageinstallationlog">
        <w:r>
          <w:rPr>
            <w:rStyle w:val="Hyperlink"/>
          </w:rPr>
          <w:t xml:space="preserve">Task 5: Review the package installation log</w:t>
        </w:r>
      </w:hyperlink>
    </w:p>
    <w:p>
      <w:pPr>
        <w:pStyle w:val="Compact"/>
        <w:numPr>
          <w:ilvl w:val="0"/>
          <w:numId w:val="1001"/>
        </w:numPr>
      </w:pPr>
      <w:hyperlink w:anchor="X22bd0951a263fef55f5534a8de42d958ef05933">
        <w:r>
          <w:rPr>
            <w:rStyle w:val="Hyperlink"/>
          </w:rPr>
          <w:t xml:space="preserve">Using Merrick Solutions Workflow Planner App-Pack</w:t>
        </w:r>
      </w:hyperlink>
    </w:p>
    <w:p>
      <w:pPr>
        <w:pStyle w:val="Compact"/>
        <w:numPr>
          <w:ilvl w:val="1"/>
          <w:numId w:val="1007"/>
        </w:numPr>
      </w:pPr>
      <w:hyperlink w:anchor="Task1AddrecordtoAWFPlannerapplication">
        <w:r>
          <w:rPr>
            <w:rStyle w:val="Hyperlink"/>
          </w:rPr>
          <w:t xml:space="preserve">Task 1: Add record to AWF Planner application</w:t>
        </w:r>
      </w:hyperlink>
    </w:p>
    <w:p>
      <w:pPr>
        <w:pStyle w:val="Compact"/>
        <w:numPr>
          <w:ilvl w:val="1"/>
          <w:numId w:val="1007"/>
        </w:numPr>
      </w:pPr>
      <w:hyperlink w:anchor="Task2GenerateAssessment">
        <w:r>
          <w:rPr>
            <w:rStyle w:val="Hyperlink"/>
          </w:rPr>
          <w:t xml:space="preserve">Task 2: Generate Assessment</w:t>
        </w:r>
      </w:hyperlink>
    </w:p>
    <w:p>
      <w:pPr>
        <w:pStyle w:val="Compact"/>
        <w:numPr>
          <w:ilvl w:val="1"/>
          <w:numId w:val="1007"/>
        </w:numPr>
      </w:pPr>
      <w:hyperlink w:anchor="Task3CompleteAssessment">
        <w:r>
          <w:rPr>
            <w:rStyle w:val="Hyperlink"/>
          </w:rPr>
          <w:t xml:space="preserve">Task 3: Complete Assessment</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Release date </w:t>
            </w:r>
          </w:p>
        </w:tc>
        <w:tc>
          <w:tcPr/>
          <w:p>
            <w:pPr>
              <w:pStyle w:val="BodyText"/>
            </w:pPr>
            <w:r>
              <w:t xml:space="preserve">Release version </w:t>
            </w:r>
          </w:p>
        </w:tc>
        <w:tc>
          <w:tcPr/>
          <w:p>
            <w:pPr>
              <w:pStyle w:val="BodyText"/>
            </w:pPr>
            <w:r>
              <w:t xml:space="preserve">Notes </w:t>
            </w:r>
          </w:p>
        </w:tc>
      </w:tr>
      <w:tr>
        <w:tc>
          <w:tcPr/>
          <w:p>
            <w:pPr>
              <w:pStyle w:val="BodyText"/>
            </w:pPr>
            <w:r>
              <w:t xml:space="preserve">February 2024</w:t>
            </w:r>
          </w:p>
        </w:tc>
        <w:tc>
          <w:tcPr/>
          <w:p>
            <w:pPr>
              <w:pStyle w:val="BodyText"/>
            </w:pPr>
            <w:r>
              <w:t xml:space="preserve">6.14 P2</w:t>
            </w:r>
          </w:p>
        </w:tc>
        <w:tc>
          <w:tcPr/>
          <w:p>
            <w:pPr>
              <w:pStyle w:val="BodyText"/>
            </w:pPr>
            <w:r>
              <w:t xml:space="preserve">Initial release</w:t>
            </w:r>
          </w:p>
        </w:tc>
      </w:tr>
    </w:tbl>
    <w:bookmarkEnd w:id="20"/>
    <w:bookmarkStart w:id="32" w:name="Overview"/>
    <w:p>
      <w:pPr>
        <w:pStyle w:val="Heading2"/>
      </w:pPr>
      <w:r>
        <w:t xml:space="preserve">Overview</w:t>
      </w:r>
    </w:p>
    <w:bookmarkStart w:id="21" w:name="KeyBenefitsandFeatures"/>
    <w:p>
      <w:pPr>
        <w:pStyle w:val="Heading3"/>
      </w:pPr>
      <w:r>
        <w:t xml:space="preserve">Key Benefits and Features</w:t>
      </w:r>
    </w:p>
    <w:p>
      <w:pPr>
        <w:pStyle w:val="FirstParagraph"/>
      </w:pPr>
      <w:r>
        <w:t xml:space="preserve">With the offering, you will be able to:</w:t>
      </w:r>
    </w:p>
    <w:p>
      <w:pPr>
        <w:numPr>
          <w:ilvl w:val="0"/>
          <w:numId w:val="1008"/>
        </w:numPr>
      </w:pPr>
      <w:r>
        <w:t xml:space="preserve">Leverage Assessment questions as development and scoping guidelines.</w:t>
      </w:r>
    </w:p>
    <w:p>
      <w:pPr>
        <w:numPr>
          <w:ilvl w:val="0"/>
          <w:numId w:val="1008"/>
        </w:numPr>
      </w:pPr>
      <w:r>
        <w:t xml:space="preserve">Provides consistent and quantitative feedback for build effort decisions.</w:t>
      </w:r>
    </w:p>
    <w:p>
      <w:pPr>
        <w:numPr>
          <w:ilvl w:val="0"/>
          <w:numId w:val="1008"/>
        </w:numPr>
      </w:pPr>
      <w:r>
        <w:t xml:space="preserve">Easily expandable to handle new AWF (or AWF- adjacent) features.</w:t>
      </w:r>
    </w:p>
    <w:p>
      <w:pPr>
        <w:pStyle w:val="FirstParagraph"/>
      </w:pPr>
      <w:r>
        <w:t xml:space="preserve">The key features include:</w:t>
      </w:r>
    </w:p>
    <w:p>
      <w:pPr>
        <w:numPr>
          <w:ilvl w:val="0"/>
          <w:numId w:val="1009"/>
        </w:numPr>
      </w:pPr>
      <w:r>
        <w:t xml:space="preserve">Prebuilt Assessment with guiding questions and scoring weightings based on real world data from multiple builds, solutions, and business verticals.</w:t>
      </w:r>
    </w:p>
    <w:p>
      <w:pPr>
        <w:numPr>
          <w:ilvl w:val="0"/>
          <w:numId w:val="1009"/>
        </w:numPr>
      </w:pPr>
      <w:r>
        <w:t xml:space="preserve">Applicable to both new and existing applications/questionnaires</w:t>
      </w:r>
    </w:p>
    <w:p>
      <w:pPr>
        <w:numPr>
          <w:ilvl w:val="0"/>
          <w:numId w:val="1009"/>
        </w:numPr>
      </w:pPr>
      <w:r>
        <w:t xml:space="preserve">Scoring Weightings are configurable based on resources.</w:t>
      </w:r>
    </w:p>
    <w:p>
      <w:pPr>
        <w:numPr>
          <w:ilvl w:val="0"/>
          <w:numId w:val="1009"/>
        </w:numPr>
      </w:pPr>
      <w:r>
        <w:t xml:space="preserve">Sample AWF containing notes on basic node usage.</w:t>
      </w:r>
    </w:p>
    <w:bookmarkEnd w:id="21"/>
    <w:bookmarkStart w:id="22" w:name="PrerequisitesODAandsystemrequirements"/>
    <w:p>
      <w:pPr>
        <w:pStyle w:val="Heading3"/>
      </w:pPr>
      <w:r>
        <w:t xml:space="preserve">Prerequisites (ODA and system requirements)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Any</w:t>
            </w:r>
          </w:p>
        </w:tc>
      </w:tr>
      <w:tr>
        <w:tc>
          <w:tcPr/>
          <w:p>
            <w:pPr>
              <w:pStyle w:val="BodyText"/>
            </w:pPr>
            <w:r>
              <w:t xml:space="preserve">Archer Use Case(s)</w:t>
            </w:r>
          </w:p>
        </w:tc>
        <w:tc>
          <w:tcPr/>
          <w:p>
            <w:pPr>
              <w:pStyle w:val="BodyText"/>
            </w:pPr>
            <w:r>
              <w:t xml:space="preserve">Any</w:t>
            </w:r>
          </w:p>
        </w:tc>
      </w:tr>
      <w:tr>
        <w:tc>
          <w:tcPr/>
          <w:p>
            <w:pPr>
              <w:pStyle w:val="BodyText"/>
            </w:pPr>
            <w:r>
              <w:t xml:space="preserve">Archer Applications</w:t>
            </w:r>
          </w:p>
        </w:tc>
        <w:tc>
          <w:tcPr/>
          <w:p>
            <w:pPr>
              <w:pStyle w:val="BodyText"/>
            </w:pPr>
            <w:r>
              <w:t xml:space="preserve">Any</w:t>
            </w:r>
          </w:p>
        </w:tc>
      </w:tr>
      <w:tr>
        <w:tc>
          <w:tcPr/>
          <w:p>
            <w:pPr>
              <w:pStyle w:val="BodyText"/>
            </w:pPr>
            <w:r>
              <w:t xml:space="preserve">Uses Custom Application</w:t>
            </w:r>
          </w:p>
        </w:tc>
        <w:tc>
          <w:tcPr/>
          <w:p>
            <w:pPr>
              <w:pStyle w:val="BodyText"/>
            </w:pPr>
            <w:r>
              <w:t xml:space="preserve">Yes</w:t>
            </w:r>
          </w:p>
        </w:tc>
      </w:tr>
      <w:tr>
        <w:tc>
          <w:tcPr/>
          <w:p>
            <w:pPr>
              <w:pStyle w:val="BodyText"/>
            </w:pPr>
            <w:r>
              <w:t xml:space="preserve">Requires On-Demand License</w:t>
            </w:r>
          </w:p>
        </w:tc>
        <w:tc>
          <w:tcPr/>
          <w:p>
            <w:pPr>
              <w:pStyle w:val="BodyText"/>
            </w:pPr>
            <w:r>
              <w:t xml:space="preserve">One (1) Archer On-Demand License is required.</w:t>
            </w:r>
          </w:p>
        </w:tc>
      </w:tr>
      <w:tr>
        <w:tc>
          <w:tcPr/>
          <w:p>
            <w:pPr>
              <w:pStyle w:val="BodyText"/>
            </w:pPr>
            <w:r>
              <w:t xml:space="preserve">Archer Requirements</w:t>
            </w:r>
          </w:p>
        </w:tc>
        <w:tc>
          <w:tcPr/>
          <w:p>
            <w:pPr>
              <w:pStyle w:val="BodyText"/>
            </w:pPr>
            <w:r>
              <w:t xml:space="preserve">Archer 6.14 P2 and later</w:t>
            </w:r>
          </w:p>
        </w:tc>
      </w:tr>
      <w:tr>
        <w:tc>
          <w:tcPr/>
          <w:p>
            <w:pPr>
              <w:pStyle w:val="BodyText"/>
            </w:pPr>
            <w:r>
              <w:t xml:space="preserve">Partner/Vendor Requirements</w:t>
            </w:r>
          </w:p>
        </w:tc>
        <w:tc>
          <w:tcPr/>
          <w:p>
            <w:pPr>
              <w:pStyle w:val="BodyText"/>
            </w:pPr>
            <w:r>
              <w:t xml:space="preserve">Valid License is required</w:t>
            </w:r>
          </w:p>
        </w:tc>
      </w:tr>
      <w:tr>
        <w:tc>
          <w:tcPr/>
          <w:p>
            <w:pPr>
              <w:pStyle w:val="BodyText"/>
            </w:pPr>
            <w:r>
              <w:t xml:space="preserve">Operating System</w:t>
            </w:r>
          </w:p>
        </w:tc>
        <w:tc>
          <w:tcPr/>
          <w:p>
            <w:pPr>
              <w:pStyle w:val="BodyText"/>
            </w:pPr>
            <w:r>
              <w:t xml:space="preserve">Windows Server 2016</w:t>
            </w:r>
          </w:p>
        </w:tc>
      </w:tr>
      <w:tr>
        <w:tc>
          <w:tcPr/>
          <w:p>
            <w:pPr>
              <w:pStyle w:val="BodyText"/>
            </w:pPr>
            <w:r>
              <w:t xml:space="preserve">Database Server</w:t>
            </w:r>
          </w:p>
        </w:tc>
        <w:tc>
          <w:tcPr/>
          <w:p>
            <w:pPr>
              <w:pStyle w:val="BodyText"/>
            </w:pPr>
            <w:r>
              <w:t xml:space="preserve">Microsoft SQL Server 2017 (64-bit)</w:t>
            </w:r>
          </w:p>
        </w:tc>
      </w:tr>
      <w:tr>
        <w:tc>
          <w:tcPr/>
          <w:p>
            <w:pPr>
              <w:pStyle w:val="BodyText"/>
            </w:pPr>
            <w:r>
              <w:t xml:space="preserve">Services Server</w:t>
            </w:r>
          </w:p>
        </w:tc>
        <w:tc>
          <w:tcPr/>
          <w:p>
            <w:pPr>
              <w:pStyle w:val="BodyText"/>
            </w:pPr>
            <w:r>
              <w:t xml:space="preserve">Java Runtime Environment (JRE) 8 (64-bit)</w:t>
            </w:r>
          </w:p>
        </w:tc>
      </w:tr>
    </w:tbl>
    <w:bookmarkEnd w:id="22"/>
    <w:bookmarkStart w:id="25"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N/A</w:t>
            </w:r>
          </w:p>
        </w:tc>
        <w:tc>
          <w:tcPr/>
          <w:p>
            <w:pPr>
              <w:pStyle w:val="BodyText"/>
            </w:pPr>
            <w:r>
              <w:t xml:space="preserve">Stand-alone ODA</w:t>
            </w:r>
          </w:p>
        </w:tc>
        <w:tc>
          <w:tcPr/>
          <w:p>
            <w:pPr>
              <w:pStyle w:val="BodyText"/>
            </w:pPr>
            <w:r>
              <w:t xml:space="preserve">N/A</w:t>
            </w:r>
          </w:p>
        </w:tc>
      </w:tr>
    </w:tbl>
    <w:bookmarkEnd w:id="23"/>
    <w:bookmarkStart w:id="24" w:name="ImpactedUseCases"/>
    <w:p>
      <w:pPr>
        <w:pStyle w:val="Heading4"/>
      </w:pPr>
      <w:r>
        <w:t xml:space="preserve">Impacted Use Case(s)</w:t>
      </w:r>
    </w:p>
    <w:tbl>
      <w:tblPr>
        <w:tblStyle w:val="Table"/>
        <w:tblW w:type="auto" w:w="0"/>
        <w:tblLook w:firstRow="1" w:lastRow="0" w:firstColumn="0" w:lastColumn="0" w:noHBand="0" w:noVBand="0" w:val="0020"/>
      </w:tblPr>
      <w:tblGrid>
        <w:gridCol w:w="7920"/>
      </w:tblGrid>
      <w:tr>
        <w:trPr>
          <w:tblHeader w:val="on"/>
        </w:trPr>
        <w:tc>
          <w:tcPr/>
          <w:p>
            <w:pPr>
              <w:pStyle w:val="FirstParagraph"/>
            </w:pPr>
            <w:r>
              <w:t xml:space="preserve">Archer Use Case(s)</w:t>
            </w:r>
          </w:p>
        </w:tc>
      </w:tr>
      <w:tr>
        <w:tc>
          <w:tcPr/>
          <w:p>
            <w:pPr>
              <w:pStyle w:val="BodyText"/>
            </w:pPr>
            <w:r>
              <w:t xml:space="preserve">N/A</w:t>
            </w:r>
          </w:p>
        </w:tc>
      </w:tr>
    </w:tbl>
    <w:bookmarkEnd w:id="24"/>
    <w:bookmarkEnd w:id="25"/>
    <w:bookmarkStart w:id="29" w:name="Swimlanediagram"/>
    <w:p>
      <w:pPr>
        <w:pStyle w:val="Heading3"/>
      </w:pPr>
      <w:r>
        <w:t xml:space="preserve">Swim lane diagram</w:t>
      </w:r>
    </w:p>
    <w:p>
      <w:pPr>
        <w:pStyle w:val="FirstParagraph"/>
      </w:pPr>
      <w:r>
        <w:t xml:space="preserve">The Application process begins when a user creates a record. The user performs an assessment on the record to determine the weighted build effort score.</w:t>
      </w:r>
    </w:p>
    <w:p>
      <w:pPr>
        <w:pStyle w:val="BodyText"/>
      </w:pPr>
      <w:r>
        <w:t xml:space="preserve">The following diagram shows the general workflow of the application.</w:t>
      </w:r>
    </w:p>
    <w:p>
      <w:pPr>
        <w:pStyle w:val="BodyText"/>
      </w:pPr>
      <w:r>
        <w:drawing>
          <wp:inline>
            <wp:extent cx="5334000" cy="2323501"/>
            <wp:effectExtent b="0" l="0" r="0" t="0"/>
            <wp:docPr descr="A diagram of a diagram Description automatically generated" title="" id="27" name="Picture"/>
            <a:graphic>
              <a:graphicData uri="http://schemas.openxmlformats.org/drawingml/2006/picture">
                <pic:pic>
                  <pic:nvPicPr>
                    <pic:cNvPr descr="C:/Users/User/HelpArcher-to-pdf/HelpArcher-to-pdf-1/images/41ad83e5835499ffdee3e982f23f01bd.png" id="28" name="Picture"/>
                    <pic:cNvPicPr>
                      <a:picLocks noChangeArrowheads="1" noChangeAspect="1"/>
                    </pic:cNvPicPr>
                  </pic:nvPicPr>
                  <pic:blipFill>
                    <a:blip r:embed="rId26"/>
                    <a:stretch>
                      <a:fillRect/>
                    </a:stretch>
                  </pic:blipFill>
                  <pic:spPr bwMode="auto">
                    <a:xfrm>
                      <a:off x="0" y="0"/>
                      <a:ext cx="5334000" cy="2323501"/>
                    </a:xfrm>
                    <a:prstGeom prst="rect">
                      <a:avLst/>
                    </a:prstGeom>
                    <a:noFill/>
                    <a:ln w="9525">
                      <a:noFill/>
                      <a:headEnd/>
                      <a:tailEnd/>
                    </a:ln>
                  </pic:spPr>
                </pic:pic>
              </a:graphicData>
            </a:graphic>
          </wp:inline>
        </w:drawing>
      </w:r>
    </w:p>
    <w:bookmarkEnd w:id="29"/>
    <w:bookmarkStart w:id="30"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AWF Planner</w:t>
            </w:r>
          </w:p>
        </w:tc>
        <w:tc>
          <w:tcPr/>
          <w:p>
            <w:pPr>
              <w:pStyle w:val="BodyText"/>
            </w:pPr>
            <w:r>
              <w:t xml:space="preserve">ODA to capture applications/questionnaires for Build Effort Assessment and Build Order Prioritization</w:t>
            </w:r>
          </w:p>
        </w:tc>
      </w:tr>
      <w:tr>
        <w:tc>
          <w:tcPr/>
          <w:p>
            <w:pPr>
              <w:pStyle w:val="BodyText"/>
            </w:pPr>
            <w:r>
              <w:t xml:space="preserve">Build Effort Assessment</w:t>
            </w:r>
          </w:p>
        </w:tc>
        <w:tc>
          <w:tcPr/>
          <w:p>
            <w:pPr>
              <w:pStyle w:val="BodyText"/>
            </w:pPr>
            <w:r>
              <w:t xml:space="preserve">Assessment used to generate the Build Effort.</w:t>
            </w:r>
          </w:p>
        </w:tc>
      </w:tr>
    </w:tbl>
    <w:bookmarkEnd w:id="30"/>
    <w:bookmarkStart w:id="31"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Owner</w:t>
            </w:r>
          </w:p>
        </w:tc>
        <w:tc>
          <w:tcPr/>
          <w:p>
            <w:pPr>
              <w:pStyle w:val="BodyText"/>
            </w:pPr>
            <w:r>
              <w:t xml:space="preserve">Inputs data, runs searches, and generates reports.</w:t>
            </w:r>
          </w:p>
        </w:tc>
      </w:tr>
    </w:tbl>
    <w:bookmarkEnd w:id="31"/>
    <w:bookmarkEnd w:id="32"/>
    <w:bookmarkStart w:id="76" w:name="Xf4c8f31fe20cdd0e027f79189722b98cfbdf130"/>
    <w:p>
      <w:pPr>
        <w:pStyle w:val="Heading2"/>
      </w:pPr>
      <w:r>
        <w:t xml:space="preserve">Installing Merrick Solutions Workflow Planner App-Pack</w:t>
      </w:r>
    </w:p>
    <w:bookmarkStart w:id="36" w:name="Installationoverview"/>
    <w:p>
      <w:pPr>
        <w:pStyle w:val="Heading3"/>
      </w:pPr>
      <w:r>
        <w:t xml:space="preserve">Installation overview</w:t>
      </w:r>
    </w:p>
    <w:bookmarkStart w:id="33" w:name="Step1Preparefortheinstallation"/>
    <w:p>
      <w:pPr>
        <w:pStyle w:val="Heading4"/>
      </w:pPr>
      <w:r>
        <w:t xml:space="preserve">Step 1: Prepare for the installation</w:t>
      </w:r>
    </w:p>
    <w:p>
      <w:pPr>
        <w:numPr>
          <w:ilvl w:val="0"/>
          <w:numId w:val="1010"/>
        </w:numPr>
      </w:pPr>
      <w:r>
        <w:t xml:space="preserve">Ensure that your Archer system meets the following requirements:</w:t>
      </w:r>
    </w:p>
    <w:p>
      <w:pPr>
        <w:numPr>
          <w:ilvl w:val="1"/>
          <w:numId w:val="1011"/>
        </w:numPr>
      </w:pPr>
      <w:r>
        <w:t xml:space="preserve">Archer Platform version 6.14 P2</w:t>
      </w:r>
    </w:p>
    <w:p>
      <w:pPr>
        <w:numPr>
          <w:ilvl w:val="0"/>
          <w:numId w:val="1010"/>
        </w:numPr>
      </w:pPr>
      <w:r>
        <w:t xml:space="preserve">Read and understand the "Packaging Data" section of the Archer Online Documentation.</w:t>
      </w:r>
    </w:p>
    <w:bookmarkEnd w:id="33"/>
    <w:bookmarkStart w:id="34"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34"/>
    <w:bookmarkStart w:id="35" w:name="Step3TesttheInstallation"/>
    <w:p>
      <w:pPr>
        <w:pStyle w:val="Heading4"/>
      </w:pPr>
      <w:r>
        <w:t xml:space="preserve">Step 3: Test the Installation</w:t>
      </w:r>
    </w:p>
    <w:p>
      <w:pPr>
        <w:pStyle w:val="FirstParagraph"/>
      </w:pPr>
      <w:r>
        <w:t xml:space="preserve">Test the application according to your company standards and procedures, to ensure that the use case works with your existing processes.</w:t>
      </w:r>
    </w:p>
    <w:bookmarkEnd w:id="35"/>
    <w:bookmarkEnd w:id="36"/>
    <w:bookmarkStart w:id="75" w:name="InstallingthePackage"/>
    <w:p>
      <w:pPr>
        <w:pStyle w:val="Heading3"/>
      </w:pPr>
      <w:r>
        <w:t xml:space="preserve">Installing the Package</w:t>
      </w:r>
    </w:p>
    <w:bookmarkStart w:id="37"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37"/>
    <w:bookmarkStart w:id="41" w:name="Task2Importthepackage"/>
    <w:p>
      <w:pPr>
        <w:pStyle w:val="Heading4"/>
      </w:pPr>
      <w:r>
        <w:t xml:space="preserve">Task 2: Import the package</w:t>
      </w:r>
    </w:p>
    <w:p>
      <w:pPr>
        <w:numPr>
          <w:ilvl w:val="0"/>
          <w:numId w:val="1012"/>
        </w:numPr>
      </w:pPr>
      <w:r>
        <w:t xml:space="preserve">Go to the Install Packages page.</w:t>
      </w:r>
    </w:p>
    <w:p>
      <w:pPr>
        <w:numPr>
          <w:ilvl w:val="1"/>
          <w:numId w:val="1013"/>
        </w:numPr>
      </w:pPr>
      <w:r>
        <w:t xml:space="preserve">From the menu bar, click</w:t>
      </w:r>
      <w:r>
        <w:t xml:space="preserve"> </w:t>
      </w:r>
      <w:r>
        <w:drawing>
          <wp:inline>
            <wp:extent cx="269507" cy="250256"/>
            <wp:effectExtent b="0" l="0" r="0" t="0"/>
            <wp:docPr descr="" title="" id="39" name="Picture"/>
            <a:graphic>
              <a:graphicData uri="http://schemas.openxmlformats.org/drawingml/2006/picture">
                <pic:pic>
                  <pic:nvPicPr>
                    <pic:cNvPr descr="C:/Users/User/HelpArcher-to-pdf/HelpArcher-to-pdf-1/images/d5abb064f35d6a5b0eecfc4362999618.png" id="40" name="Picture"/>
                    <pic:cNvPicPr>
                      <a:picLocks noChangeArrowheads="1" noChangeAspect="1"/>
                    </pic:cNvPicPr>
                  </pic:nvPicPr>
                  <pic:blipFill>
                    <a:blip r:embed="rId38"/>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3"/>
        </w:numPr>
      </w:pPr>
      <w:r>
        <w:t xml:space="preserve">Under Application Builder, click Install Packages.</w:t>
      </w:r>
    </w:p>
    <w:p>
      <w:pPr>
        <w:numPr>
          <w:ilvl w:val="0"/>
          <w:numId w:val="1012"/>
        </w:numPr>
      </w:pPr>
      <w:r>
        <w:t xml:space="preserve">In the Available Packages section, click Import.</w:t>
      </w:r>
    </w:p>
    <w:p>
      <w:pPr>
        <w:numPr>
          <w:ilvl w:val="0"/>
          <w:numId w:val="1012"/>
        </w:numPr>
      </w:pPr>
      <w:r>
        <w:t xml:space="preserve">Click Add New, then locate and select the package file that you want to import.</w:t>
      </w:r>
    </w:p>
    <w:p>
      <w:pPr>
        <w:numPr>
          <w:ilvl w:val="0"/>
          <w:numId w:val="1012"/>
        </w:numPr>
      </w:pPr>
      <w:r>
        <w:t xml:space="preserve">Click OK.</w:t>
      </w:r>
    </w:p>
    <w:p>
      <w:pPr>
        <w:pStyle w:val="FirstParagraph"/>
      </w:pPr>
      <w:r>
        <w:t xml:space="preserve">The package file is displayed in the Available Packages section and is ready for installation.</w:t>
      </w:r>
    </w:p>
    <w:bookmarkEnd w:id="41"/>
    <w:bookmarkStart w:id="68"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14"/>
        </w:numPr>
      </w:pPr>
      <w:r>
        <w:t xml:space="preserve">In the Available Packages section, select the package you want to map.</w:t>
      </w:r>
    </w:p>
    <w:p>
      <w:pPr>
        <w:numPr>
          <w:ilvl w:val="0"/>
          <w:numId w:val="1014"/>
        </w:numPr>
      </w:pPr>
      <w:r>
        <w:t xml:space="preserve">In the Actions column, click</w:t>
      </w:r>
      <w:r>
        <w:t xml:space="preserve"> </w:t>
      </w:r>
      <w:r>
        <w:drawing>
          <wp:inline>
            <wp:extent cx="171450" cy="171450"/>
            <wp:effectExtent b="0" l="0" r="0" t="0"/>
            <wp:docPr descr="" title="" id="43" name="Picture"/>
            <a:graphic>
              <a:graphicData uri="http://schemas.openxmlformats.org/drawingml/2006/picture">
                <pic:pic>
                  <pic:nvPicPr>
                    <pic:cNvPr descr="C:/Users/User/HelpArcher-to-pdf/HelpArcher-to-pdf-1/images/e6af1f2ae7fc69561eb0a3e9689fd2fa.png" id="44" name="Picture"/>
                    <pic:cNvPicPr>
                      <a:picLocks noChangeArrowheads="1" noChangeAspect="1"/>
                    </pic:cNvPicPr>
                  </pic:nvPicPr>
                  <pic:blipFill>
                    <a:blip r:embed="rId42"/>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15"/>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46" name="Picture"/>
                  <a:graphic>
                    <a:graphicData uri="http://schemas.openxmlformats.org/drawingml/2006/picture">
                      <pic:pic>
                        <pic:nvPicPr>
                          <pic:cNvPr descr="C:/Users/User/HelpArcher-to-pdf/HelpArcher-to-pdf-1/images/85e21d3f9ec7c896c4dae09bc706d682.png" id="47" name="Picture"/>
                          <pic:cNvPicPr>
                            <a:picLocks noChangeArrowheads="1" noChangeAspect="1"/>
                          </pic:cNvPicPr>
                        </pic:nvPicPr>
                        <pic:blipFill>
                          <a:blip r:embed="rId45"/>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48" name="Picture"/>
                  <a:graphic>
                    <a:graphicData uri="http://schemas.openxmlformats.org/drawingml/2006/picture">
                      <pic:pic>
                        <pic:nvPicPr>
                          <pic:cNvPr descr="C:/Users/User/HelpArcher-to-pdf/HelpArcher-to-pdf-1/images/85e21d3f9ec7c896c4dae09bc706d682.png" id="49" name="Picture"/>
                          <pic:cNvPicPr>
                            <a:picLocks noChangeArrowheads="1" noChangeAspect="1"/>
                          </pic:cNvPicPr>
                        </pic:nvPicPr>
                        <pic:blipFill>
                          <a:blip r:embed="rId45"/>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51" name="Picture"/>
                  <a:graphic>
                    <a:graphicData uri="http://schemas.openxmlformats.org/drawingml/2006/picture">
                      <pic:pic>
                        <pic:nvPicPr>
                          <pic:cNvPr descr="C:/Users/User/HelpArcher-to-pdf/HelpArcher-to-pdf-1/images/cc73dff3906266180c4abdbe3fe3e512.png" id="52" name="Picture"/>
                          <pic:cNvPicPr>
                            <a:picLocks noChangeArrowheads="1" noChangeAspect="1"/>
                          </pic:cNvPicPr>
                        </pic:nvPicPr>
                        <pic:blipFill>
                          <a:blip r:embed="rId50"/>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54" name="Picture"/>
                  <a:graphic>
                    <a:graphicData uri="http://schemas.openxmlformats.org/drawingml/2006/picture">
                      <pic:pic>
                        <pic:nvPicPr>
                          <pic:cNvPr descr="C:/Users/User/HelpArcher-to-pdf/HelpArcher-to-pdf-1/images/a07d14b5cfcf193233effb39f5747a07.png" id="55" name="Picture"/>
                          <pic:cNvPicPr>
                            <a:picLocks noChangeArrowheads="1" noChangeAspect="1"/>
                          </pic:cNvPicPr>
                        </pic:nvPicPr>
                        <pic:blipFill>
                          <a:blip r:embed="rId53"/>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57" name="Picture"/>
                  <a:graphic>
                    <a:graphicData uri="http://schemas.openxmlformats.org/drawingml/2006/picture">
                      <pic:pic>
                        <pic:nvPicPr>
                          <pic:cNvPr descr="C:/Users/User/HelpArcher-to-pdf/HelpArcher-to-pdf-1/images/a6c9f9a1e9abd32010a49c9bcf69c864.png" id="58" name="Picture"/>
                          <pic:cNvPicPr>
                            <a:picLocks noChangeArrowheads="1" noChangeAspect="1"/>
                          </pic:cNvPicPr>
                        </pic:nvPicPr>
                        <pic:blipFill>
                          <a:blip r:embed="rId56"/>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16"/>
        </w:numPr>
      </w:pPr>
      <w:r>
        <w:t xml:space="preserve">For each object that requires remediation, do one of the following:</w:t>
      </w:r>
    </w:p>
    <w:p>
      <w:pPr>
        <w:numPr>
          <w:ilvl w:val="1"/>
          <w:numId w:val="1017"/>
        </w:numPr>
      </w:pPr>
      <w:r>
        <w:t xml:space="preserve">To map each item individually, on the Target column, select the object in the target instance to which you want to map the source object. If an object is new or if you do not want to map an object, select Do Not Map from the drop-down list.</w:t>
      </w:r>
      <w:r>
        <w:br/>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the Archer Online Documentation.</w:t>
      </w:r>
    </w:p>
    <w:p>
      <w:pPr>
        <w:numPr>
          <w:ilvl w:val="1"/>
          <w:numId w:val="1017"/>
        </w:numPr>
      </w:pPr>
      <w:r>
        <w:t xml:space="preserve">To automatically map all objects in a tab that have different system IDs but the same object name as an object in the target instance, do the following:</w:t>
      </w:r>
    </w:p>
    <w:p>
      <w:pPr>
        <w:numPr>
          <w:ilvl w:val="1"/>
          <w:numId w:val="1018"/>
        </w:numPr>
      </w:pPr>
      <w:r>
        <w:t xml:space="preserve">In the toolbar, click Auto Map.</w:t>
      </w:r>
    </w:p>
    <w:p>
      <w:pPr>
        <w:numPr>
          <w:ilvl w:val="1"/>
          <w:numId w:val="1018"/>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18"/>
        </w:numPr>
      </w:pPr>
      <w:r>
        <w:t xml:space="preserve">Click OK. The Confirmation dialog box opens with the total number of mappings performed. These mappings have not been committed to the database yet and can be modified in the Advanced Package Mapping page.</w:t>
      </w:r>
    </w:p>
    <w:p>
      <w:pPr>
        <w:numPr>
          <w:ilvl w:val="1"/>
          <w:numId w:val="1018"/>
        </w:numPr>
      </w:pPr>
      <w:r>
        <w:t xml:space="preserve">Click OK.</w:t>
      </w:r>
    </w:p>
    <w:p>
      <w:pPr>
        <w:numPr>
          <w:ilvl w:val="2"/>
          <w:numId w:val="1019"/>
        </w:numPr>
      </w:pPr>
      <w:r>
        <w:t xml:space="preserve">To set all objects in the tab to Do Not Map, in the toolbar, click Do Not Map.</w:t>
      </w:r>
    </w:p>
    <w:p>
      <w:pPr>
        <w:numPr>
          <w:ilvl w:val="2"/>
          <w:numId w:val="1000"/>
        </w:numPr>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59" name="Picture"/>
            <a:graphic>
              <a:graphicData uri="http://schemas.openxmlformats.org/drawingml/2006/picture">
                <pic:pic>
                  <pic:nvPicPr>
                    <pic:cNvPr descr="C:/Users/User/HelpArcher-to-pdf/HelpArcher-to-pdf-1/images/a6c9f9a1e9abd32010a49c9bcf69c864.png" id="60" name="Picture"/>
                    <pic:cNvPicPr>
                      <a:picLocks noChangeArrowheads="1" noChangeAspect="1"/>
                    </pic:cNvPicPr>
                  </pic:nvPicPr>
                  <pic:blipFill>
                    <a:blip r:embed="rId56"/>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numPr>
          <w:ilvl w:val="1"/>
          <w:numId w:val="1018"/>
        </w:numPr>
      </w:pPr>
      <w:r>
        <w:t xml:space="preserve">When all objects are mapped, the</w:t>
      </w:r>
      <w:r>
        <w:t xml:space="preserve"> </w:t>
      </w:r>
      <w:r>
        <w:drawing>
          <wp:inline>
            <wp:extent cx="238125" cy="266700"/>
            <wp:effectExtent b="0" l="0" r="0" t="0"/>
            <wp:docPr descr="Checkmark" title="" id="61" name="Picture"/>
            <a:graphic>
              <a:graphicData uri="http://schemas.openxmlformats.org/drawingml/2006/picture">
                <pic:pic>
                  <pic:nvPicPr>
                    <pic:cNvPr descr="C:/Users/User/HelpArcher-to-pdf/HelpArcher-to-pdf-1/images/cc73dff3906266180c4abdbe3fe3e512.png" id="62" name="Picture"/>
                    <pic:cNvPicPr>
                      <a:picLocks noChangeArrowheads="1" noChangeAspect="1"/>
                    </pic:cNvPicPr>
                  </pic:nvPicPr>
                  <pic:blipFill>
                    <a:blip r:embed="rId50"/>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63" name="Picture"/>
            <a:graphic>
              <a:graphicData uri="http://schemas.openxmlformats.org/drawingml/2006/picture">
                <pic:pic>
                  <pic:nvPicPr>
                    <pic:cNvPr descr="C:/Users/User/HelpArcher-to-pdf/HelpArcher-to-pdf-1/images/a07d14b5cfcf193233effb39f5747a07.png" id="64" name="Picture"/>
                    <pic:cNvPicPr>
                      <a:picLocks noChangeArrowheads="1" noChangeAspect="1"/>
                    </pic:cNvPicPr>
                  </pic:nvPicPr>
                  <pic:blipFill>
                    <a:blip r:embed="rId53"/>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1"/>
          <w:numId w:val="1018"/>
        </w:numPr>
      </w:pPr>
      <w:r>
        <w:t xml:space="preserve">Verify that all other objects are mapped correctly.</w:t>
      </w:r>
    </w:p>
    <w:p>
      <w:pPr>
        <w:numPr>
          <w:ilvl w:val="1"/>
          <w:numId w:val="1018"/>
        </w:numPr>
      </w:pPr>
      <w:r>
        <w:t xml:space="preserve">(Optional) To save your mapping settings so that you can resume working later, see "Exporting and Importing Mapping Settings" in the Archer Online Documentation.</w:t>
      </w:r>
    </w:p>
    <w:p>
      <w:pPr>
        <w:numPr>
          <w:ilvl w:val="1"/>
          <w:numId w:val="1018"/>
        </w:numPr>
      </w:pPr>
      <w:r>
        <w:t xml:space="preserve">Once you have reviewed and mapped all objects, click</w:t>
      </w:r>
      <w:r>
        <w:t xml:space="preserve"> </w:t>
      </w:r>
      <w:r>
        <w:drawing>
          <wp:inline>
            <wp:extent cx="190500" cy="190500"/>
            <wp:effectExtent b="0" l="0" r="0" t="0"/>
            <wp:docPr descr="" title="" id="66" name="Picture"/>
            <a:graphic>
              <a:graphicData uri="http://schemas.openxmlformats.org/drawingml/2006/picture">
                <pic:pic>
                  <pic:nvPicPr>
                    <pic:cNvPr descr="C:/Users/User/HelpArcher-to-pdf/HelpArcher-to-pdf-1/images/7a06d9cafbfdf9f338be4c83527d7d00.png" id="67" name="Picture"/>
                    <pic:cNvPicPr>
                      <a:picLocks noChangeArrowheads="1" noChangeAspect="1"/>
                    </pic:cNvPicPr>
                  </pic:nvPicPr>
                  <pic:blipFill>
                    <a:blip r:embed="rId65"/>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1"/>
          <w:numId w:val="1018"/>
        </w:numPr>
      </w:pPr>
      <w:r>
        <w:t xml:space="preserve">Select I understand the implications of performing this operation and click OK.</w:t>
      </w:r>
    </w:p>
    <w:p>
      <w:pPr>
        <w:numPr>
          <w:ilvl w:val="1"/>
          <w:numId w:val="1018"/>
        </w:numPr>
      </w:pPr>
      <w:r>
        <w:t xml:space="preserve">The Advanced Package Mapping process updates the system IDs of the objects in the target instance as defined on the Advanced Package Mapping page. When the mapping is complete, the Import and Install Packages page is displayed.</w:t>
      </w:r>
    </w:p>
    <w:p>
      <w:pPr>
        <w:numPr>
          <w:ilvl w:val="1"/>
          <w:numId w:val="1000"/>
        </w:numPr>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68"/>
    <w:bookmarkStart w:id="71"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0"/>
        </w:numPr>
      </w:pPr>
      <w:r>
        <w:t xml:space="preserve">Go to the Install Packages page.</w:t>
      </w:r>
    </w:p>
    <w:p>
      <w:pPr>
        <w:numPr>
          <w:ilvl w:val="1"/>
          <w:numId w:val="1021"/>
        </w:numPr>
      </w:pPr>
      <w:r>
        <w:t xml:space="preserve">From the menu bar, click</w:t>
      </w:r>
      <w:r>
        <w:t xml:space="preserve"> </w:t>
      </w:r>
      <w:r>
        <w:drawing>
          <wp:inline>
            <wp:extent cx="269507" cy="250256"/>
            <wp:effectExtent b="0" l="0" r="0" t="0"/>
            <wp:docPr descr="" title="" id="69" name="Picture"/>
            <a:graphic>
              <a:graphicData uri="http://schemas.openxmlformats.org/drawingml/2006/picture">
                <pic:pic>
                  <pic:nvPicPr>
                    <pic:cNvPr descr="C:/Users/User/HelpArcher-to-pdf/HelpArcher-to-pdf-1/images/d5abb064f35d6a5b0eecfc4362999618.png" id="70" name="Picture"/>
                    <pic:cNvPicPr>
                      <a:picLocks noChangeArrowheads="1" noChangeAspect="1"/>
                    </pic:cNvPicPr>
                  </pic:nvPicPr>
                  <pic:blipFill>
                    <a:blip r:embed="rId38"/>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1"/>
        </w:numPr>
      </w:pPr>
      <w:r>
        <w:t xml:space="preserve">Under Application Builder, click Install Packages.</w:t>
      </w:r>
    </w:p>
    <w:p>
      <w:pPr>
        <w:numPr>
          <w:ilvl w:val="0"/>
          <w:numId w:val="1020"/>
        </w:numPr>
      </w:pPr>
      <w:r>
        <w:t xml:space="preserve">In the Available Packages section, locate the package file that you want to install, and click Install.</w:t>
      </w:r>
    </w:p>
    <w:p>
      <w:pPr>
        <w:numPr>
          <w:ilvl w:val="0"/>
          <w:numId w:val="1020"/>
        </w:numPr>
      </w:pPr>
      <w:r>
        <w:t xml:space="preserve">In the Configuration section, select the components of the package that you want to install.</w:t>
      </w:r>
    </w:p>
    <w:p>
      <w:pPr>
        <w:numPr>
          <w:ilvl w:val="1"/>
          <w:numId w:val="1022"/>
        </w:numPr>
      </w:pPr>
      <w:r>
        <w:t xml:space="preserve">To select all components, select the top-level checkbox.</w:t>
      </w:r>
    </w:p>
    <w:p>
      <w:pPr>
        <w:numPr>
          <w:ilvl w:val="1"/>
          <w:numId w:val="1022"/>
        </w:numPr>
      </w:pPr>
      <w:r>
        <w:t xml:space="preserve">To install only specific global reports in an already installed application, select the checkbox associated with each report that you want to install.</w:t>
      </w:r>
    </w:p>
    <w:p>
      <w:pPr>
        <w:numPr>
          <w:ilvl w:val="1"/>
          <w:numId w:val="1000"/>
        </w:numPr>
      </w:pPr>
      <w:r>
        <w:rPr>
          <w:b/>
          <w:bCs/>
        </w:rPr>
        <w:t xml:space="preserve">Note:</w:t>
      </w:r>
      <w:r>
        <w:t xml:space="preserve"> </w:t>
      </w:r>
      <w:r>
        <w:t xml:space="preserve">Items in the package that do not match an existing item in the target instance are selected by default.</w:t>
      </w:r>
    </w:p>
    <w:p>
      <w:pPr>
        <w:numPr>
          <w:ilvl w:val="0"/>
          <w:numId w:val="1020"/>
        </w:numPr>
      </w:pPr>
      <w:r>
        <w:t xml:space="preserve">In the Configuration section, under Install Method, select an option for each selected component. To use the same Install Method for all selected components, select a method from the top-level drop-down list.</w:t>
      </w:r>
    </w:p>
    <w:p>
      <w:pPr>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0"/>
        </w:numPr>
      </w:pPr>
      <w:r>
        <w:t xml:space="preserve">In the Configuration section, under Install Option, select an option for each selected component. To use the same Install Option for all selected components, select an option from the top-level drop-down list.</w:t>
      </w:r>
    </w:p>
    <w:p>
      <w:pPr>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0"/>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20"/>
        </w:numPr>
      </w:pPr>
      <w:r>
        <w:t xml:space="preserve">Click Install.</w:t>
      </w:r>
    </w:p>
    <w:p>
      <w:pPr>
        <w:numPr>
          <w:ilvl w:val="0"/>
          <w:numId w:val="1020"/>
        </w:numPr>
      </w:pPr>
      <w:r>
        <w:t xml:space="preserve">Click OK.</w:t>
      </w:r>
    </w:p>
    <w:bookmarkEnd w:id="71"/>
    <w:bookmarkStart w:id="74" w:name="Task5Reviewthepackageinstallationlog"/>
    <w:p>
      <w:pPr>
        <w:pStyle w:val="Heading4"/>
      </w:pPr>
      <w:r>
        <w:t xml:space="preserve">Task 5: Review the package installation log</w:t>
      </w:r>
    </w:p>
    <w:p>
      <w:pPr>
        <w:numPr>
          <w:ilvl w:val="0"/>
          <w:numId w:val="1023"/>
        </w:numPr>
      </w:pPr>
      <w:r>
        <w:t xml:space="preserve">Go to the Package Installation Log tab of the Install Packages page.</w:t>
      </w:r>
    </w:p>
    <w:p>
      <w:pPr>
        <w:numPr>
          <w:ilvl w:val="1"/>
          <w:numId w:val="1024"/>
        </w:numPr>
      </w:pPr>
      <w:r>
        <w:t xml:space="preserve">From the menu bar, click</w:t>
      </w:r>
      <w:r>
        <w:t xml:space="preserve"> </w:t>
      </w:r>
      <w:r>
        <w:drawing>
          <wp:inline>
            <wp:extent cx="269507" cy="250256"/>
            <wp:effectExtent b="0" l="0" r="0" t="0"/>
            <wp:docPr descr="" title="" id="72" name="Picture"/>
            <a:graphic>
              <a:graphicData uri="http://schemas.openxmlformats.org/drawingml/2006/picture">
                <pic:pic>
                  <pic:nvPicPr>
                    <pic:cNvPr descr="C:/Users/User/HelpArcher-to-pdf/HelpArcher-to-pdf-1/images/d5abb064f35d6a5b0eecfc4362999618.png" id="73" name="Picture"/>
                    <pic:cNvPicPr>
                      <a:picLocks noChangeArrowheads="1" noChangeAspect="1"/>
                    </pic:cNvPicPr>
                  </pic:nvPicPr>
                  <pic:blipFill>
                    <a:blip r:embed="rId38"/>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4"/>
        </w:numPr>
      </w:pPr>
      <w:r>
        <w:t xml:space="preserve">Under Application Builder, click Install Packages.</w:t>
      </w:r>
    </w:p>
    <w:p>
      <w:pPr>
        <w:numPr>
          <w:ilvl w:val="1"/>
          <w:numId w:val="1024"/>
        </w:numPr>
      </w:pPr>
      <w:r>
        <w:t xml:space="preserve">Click the Package Installation Log tab.</w:t>
      </w:r>
    </w:p>
    <w:p>
      <w:pPr>
        <w:numPr>
          <w:ilvl w:val="0"/>
          <w:numId w:val="1023"/>
        </w:numPr>
      </w:pPr>
      <w:r>
        <w:t xml:space="preserve">Click the package that you want to view.</w:t>
      </w:r>
    </w:p>
    <w:p>
      <w:pPr>
        <w:numPr>
          <w:ilvl w:val="0"/>
          <w:numId w:val="1023"/>
        </w:numPr>
      </w:pPr>
      <w:r>
        <w:t xml:space="preserve">In the Package Installation Log page, in the Object Details section, click View All Warnings.</w:t>
      </w:r>
    </w:p>
    <w:bookmarkEnd w:id="74"/>
    <w:bookmarkEnd w:id="75"/>
    <w:bookmarkEnd w:id="76"/>
    <w:bookmarkStart w:id="81" w:name="X22bd0951a263fef55f5534a8de42d958ef05933"/>
    <w:p>
      <w:pPr>
        <w:pStyle w:val="Heading2"/>
      </w:pPr>
      <w:r>
        <w:t xml:space="preserve">Using Merrick Solutions Workflow Planner App-Pack</w:t>
      </w:r>
    </w:p>
    <w:bookmarkStart w:id="78" w:name="Task1AddrecordtoAWFPlannerapplication"/>
    <w:p>
      <w:pPr>
        <w:pStyle w:val="Heading3"/>
      </w:pPr>
      <w:r>
        <w:t xml:space="preserve">Task 1: Add record to AWF Planner application</w:t>
      </w:r>
    </w:p>
    <w:p>
      <w:pPr>
        <w:numPr>
          <w:ilvl w:val="0"/>
          <w:numId w:val="1025"/>
        </w:numPr>
      </w:pPr>
      <w:hyperlink r:id="rId77">
        <w:r>
          <w:rPr>
            <w:rStyle w:val="Hyperlink"/>
          </w:rPr>
          <w:t xml:space="preserve">Open AWF</w:t>
        </w:r>
      </w:hyperlink>
      <w:r>
        <w:t xml:space="preserve"> </w:t>
      </w:r>
      <w:r>
        <w:t xml:space="preserve">Planner application.</w:t>
      </w:r>
    </w:p>
    <w:p>
      <w:pPr>
        <w:numPr>
          <w:ilvl w:val="0"/>
          <w:numId w:val="1025"/>
        </w:numPr>
      </w:pPr>
      <w:r>
        <w:t xml:space="preserve">Click Add New.</w:t>
      </w:r>
    </w:p>
    <w:p>
      <w:pPr>
        <w:numPr>
          <w:ilvl w:val="0"/>
          <w:numId w:val="1025"/>
        </w:numPr>
      </w:pPr>
      <w:r>
        <w:t xml:space="preserve">Click Save.</w:t>
      </w:r>
    </w:p>
    <w:bookmarkEnd w:id="78"/>
    <w:bookmarkStart w:id="79" w:name="Task2GenerateAssessment"/>
    <w:p>
      <w:pPr>
        <w:pStyle w:val="Heading3"/>
      </w:pPr>
      <w:r>
        <w:t xml:space="preserve">Task 2: Generate Assessment</w:t>
      </w:r>
    </w:p>
    <w:p>
      <w:pPr>
        <w:numPr>
          <w:ilvl w:val="0"/>
          <w:numId w:val="1026"/>
        </w:numPr>
      </w:pPr>
      <w:hyperlink r:id="rId77">
        <w:r>
          <w:rPr>
            <w:rStyle w:val="Hyperlink"/>
          </w:rPr>
          <w:t xml:space="preserve">Open AWF</w:t>
        </w:r>
      </w:hyperlink>
      <w:r>
        <w:t xml:space="preserve"> </w:t>
      </w:r>
      <w:r>
        <w:t xml:space="preserve">Planner application.</w:t>
      </w:r>
    </w:p>
    <w:p>
      <w:pPr>
        <w:numPr>
          <w:ilvl w:val="0"/>
          <w:numId w:val="1026"/>
        </w:numPr>
      </w:pPr>
      <w:r>
        <w:t xml:space="preserve">Open the record that needs to be assessed.</w:t>
      </w:r>
    </w:p>
    <w:p>
      <w:pPr>
        <w:numPr>
          <w:ilvl w:val="0"/>
          <w:numId w:val="1026"/>
        </w:numPr>
      </w:pPr>
      <w:r>
        <w:t xml:space="preserve">Click Add New on the Build Effort Assessments field.</w:t>
      </w:r>
    </w:p>
    <w:bookmarkEnd w:id="79"/>
    <w:bookmarkStart w:id="80" w:name="Task3CompleteAssessment"/>
    <w:p>
      <w:pPr>
        <w:pStyle w:val="Heading3"/>
      </w:pPr>
      <w:r>
        <w:t xml:space="preserve">Task 3: Complete Assessment</w:t>
      </w:r>
    </w:p>
    <w:p>
      <w:pPr>
        <w:numPr>
          <w:ilvl w:val="0"/>
          <w:numId w:val="1027"/>
        </w:numPr>
      </w:pPr>
      <w:r>
        <w:t xml:space="preserve">Open Build Effort Assessments</w:t>
      </w:r>
    </w:p>
    <w:p>
      <w:pPr>
        <w:numPr>
          <w:ilvl w:val="0"/>
          <w:numId w:val="1027"/>
        </w:numPr>
      </w:pPr>
      <w:r>
        <w:t xml:space="preserve">Open the assessment that needs to be completed.</w:t>
      </w:r>
    </w:p>
    <w:p>
      <w:pPr>
        <w:numPr>
          <w:ilvl w:val="0"/>
          <w:numId w:val="1027"/>
        </w:numPr>
      </w:pPr>
      <w:r>
        <w:t xml:space="preserve">Complete and Save the Assessment</w:t>
      </w:r>
    </w:p>
    <w:bookmarkEnd w:id="80"/>
    <w:bookmarkEnd w:id="81"/>
    <w:bookmarkStart w:id="82" w:name="Certificationenvironment"/>
    <w:p>
      <w:pPr>
        <w:pStyle w:val="Heading2"/>
      </w:pPr>
      <w:r>
        <w:t xml:space="preserve">Certification environment</w:t>
      </w:r>
    </w:p>
    <w:p>
      <w:pPr>
        <w:pStyle w:val="FirstParagraph"/>
      </w:pPr>
      <w:r>
        <w:t xml:space="preserve">Date tested: January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6.14 P2</w:t>
            </w:r>
          </w:p>
        </w:tc>
        <w:tc>
          <w:tcPr/>
          <w:p>
            <w:pPr>
              <w:pStyle w:val="BodyText"/>
            </w:pPr>
            <w:r>
              <w:t xml:space="preserve">Windows</w:t>
            </w:r>
          </w:p>
        </w:tc>
      </w:tr>
    </w:tbl>
    <w:bookmarkEnd w:id="82"/>
    <w:bookmarkEnd w:id="83"/>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77"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7"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2025-03-24T15:59:28Z</dcterms:created>
  <dcterms:modified xsi:type="dcterms:W3CDTF">2025-03-24T15:59:28Z</dcterms:modified>
</cp:coreProperties>
</file>

<file path=docProps/custom.xml><?xml version="1.0" encoding="utf-8"?>
<Properties xmlns="http://schemas.openxmlformats.org/officeDocument/2006/custom-properties" xmlns:vt="http://schemas.openxmlformats.org/officeDocument/2006/docPropsVTypes"/>
</file>