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mc-main-content"/>
    <w:bookmarkStart w:id="30" w:name="X85609d2d6fab82f0ffc1e1ca6ed62746ce4dd9c"/>
    <w:p>
      <w:pPr>
        <w:pStyle w:val="Heading1"/>
      </w:pPr>
      <w:r>
        <w:t xml:space="preserve">Understanding Qualitative vs. Quantitative</w:t>
      </w:r>
    </w:p>
    <w:p>
      <w:pPr>
        <w:pStyle w:val="FirstParagraph"/>
      </w:pPr>
      <w:r>
        <w:t xml:space="preserve">As you begin to adopt</w:t>
      </w:r>
      <w:r>
        <w:t xml:space="preserve"> </w:t>
      </w:r>
      <w:r>
        <w:t xml:space="preserve">Archer Insight</w:t>
      </w:r>
      <w:r>
        <w:t xml:space="preserve">, you will likely have a mix of risks in your Risks application - some qualitative, some quantitative. It's important to understand the differences in these approaches and how data is aggregated differently depending on the approach.</w:t>
      </w:r>
    </w:p>
    <w:p>
      <w:pPr>
        <w:pStyle w:val="BodyText"/>
      </w:pPr>
      <w:r>
        <w:t xml:space="preserve">On this page</w:t>
      </w:r>
    </w:p>
    <w:p>
      <w:pPr>
        <w:pStyle w:val="Compact"/>
        <w:numPr>
          <w:ilvl w:val="0"/>
          <w:numId w:val="1001"/>
        </w:numPr>
      </w:pPr>
      <w:hyperlink w:anchor="Qualitative">
        <w:r>
          <w:rPr>
            <w:rStyle w:val="Hyperlink"/>
          </w:rPr>
          <w:t xml:space="preserve">Qualitative</w:t>
        </w:r>
      </w:hyperlink>
    </w:p>
    <w:p>
      <w:pPr>
        <w:pStyle w:val="Compact"/>
        <w:numPr>
          <w:ilvl w:val="0"/>
          <w:numId w:val="1001"/>
        </w:numPr>
      </w:pPr>
      <w:hyperlink w:anchor="Quantitative">
        <w:r>
          <w:rPr>
            <w:rStyle w:val="Hyperlink"/>
          </w:rPr>
          <w:t xml:space="preserve">Quantitative</w:t>
        </w:r>
      </w:hyperlink>
    </w:p>
    <w:p>
      <w:pPr>
        <w:pStyle w:val="Compact"/>
        <w:numPr>
          <w:ilvl w:val="0"/>
          <w:numId w:val="1001"/>
        </w:numPr>
      </w:pPr>
      <w:hyperlink w:anchor="RiskGenerator">
        <w:r>
          <w:rPr>
            <w:rStyle w:val="Hyperlink"/>
          </w:rPr>
          <w:t xml:space="preserve">Risk Generator</w:t>
        </w:r>
      </w:hyperlink>
    </w:p>
    <w:bookmarkStart w:id="24" w:name="Qualitative"/>
    <w:p>
      <w:pPr>
        <w:pStyle w:val="Heading2"/>
      </w:pPr>
      <w:r>
        <w:t xml:space="preserve">Qualitative</w:t>
      </w:r>
    </w:p>
    <w:p>
      <w:pPr>
        <w:pStyle w:val="FirstParagraph"/>
      </w:pPr>
      <w:r>
        <w:t xml:space="preserve">The following diagram shows the aggregation paths for qualitative risks.</w:t>
      </w:r>
    </w:p>
    <w:p>
      <w:pPr>
        <w:pStyle w:val="BodyText"/>
      </w:pPr>
      <w:r>
        <w:t xml:space="preserve">Download the source file of the diagram here:</w:t>
      </w:r>
      <w:r>
        <w:t xml:space="preserve"> </w:t>
      </w:r>
      <w:hyperlink r:id="rId20">
        <w:r>
          <w:rPr>
            <w:rStyle w:val="Hyperlink"/>
          </w:rPr>
          <w:t xml:space="preserve">Archer Insight Architecture Diagram</w:t>
        </w:r>
      </w:hyperlink>
    </w:p>
    <w:p>
      <w:pPr>
        <w:pStyle w:val="BodyText"/>
      </w:pPr>
      <w:r>
        <w:drawing>
          <wp:inline>
            <wp:extent cx="5334000" cy="3149460"/>
            <wp:effectExtent b="0" l="0" r="0" t="0"/>
            <wp:docPr descr="" title="" id="22" name="Picture"/>
            <a:graphic>
              <a:graphicData uri="http://schemas.openxmlformats.org/drawingml/2006/picture">
                <pic:pic>
                  <pic:nvPicPr>
                    <pic:cNvPr descr="C:/Users/User/HelpArcher-to-pdf/HelpArcher-to-pdf-1/images/6f9bf4041b24d4b489935ac8f6a92fd5.png" id="23" name="Picture"/>
                    <pic:cNvPicPr>
                      <a:picLocks noChangeArrowheads="1" noChangeAspect="1"/>
                    </pic:cNvPicPr>
                  </pic:nvPicPr>
                  <pic:blipFill>
                    <a:blip r:embed="rId21"/>
                    <a:stretch>
                      <a:fillRect/>
                    </a:stretch>
                  </pic:blipFill>
                  <pic:spPr bwMode="auto">
                    <a:xfrm>
                      <a:off x="0" y="0"/>
                      <a:ext cx="5334000" cy="3149460"/>
                    </a:xfrm>
                    <a:prstGeom prst="rect">
                      <a:avLst/>
                    </a:prstGeom>
                    <a:noFill/>
                    <a:ln w="9525">
                      <a:noFill/>
                      <a:headEnd/>
                      <a:tailEnd/>
                    </a:ln>
                  </pic:spPr>
                </pic:pic>
              </a:graphicData>
            </a:graphic>
          </wp:inline>
        </w:drawing>
      </w:r>
    </w:p>
    <w:p>
      <w:pPr>
        <w:pStyle w:val="BodyText"/>
      </w:pPr>
      <w:r>
        <w:t xml:space="preserve">Qualitative risks have three aggregation paths:</w:t>
      </w:r>
    </w:p>
    <w:p>
      <w:pPr>
        <w:numPr>
          <w:ilvl w:val="0"/>
          <w:numId w:val="1002"/>
        </w:numPr>
      </w:pPr>
      <w:r>
        <w:t xml:space="preserve">Into the Organizational hierarchy through the Business Unit only</w:t>
      </w:r>
    </w:p>
    <w:p>
      <w:pPr>
        <w:numPr>
          <w:ilvl w:val="0"/>
          <w:numId w:val="1002"/>
        </w:numPr>
      </w:pPr>
      <w:r>
        <w:t xml:space="preserve">Into the Risk hierarchy through the Intermediate Risk level only</w:t>
      </w:r>
    </w:p>
    <w:p>
      <w:pPr>
        <w:numPr>
          <w:ilvl w:val="0"/>
          <w:numId w:val="1002"/>
        </w:numPr>
      </w:pPr>
      <w:r>
        <w:t xml:space="preserve">Into Risk Statements</w:t>
      </w:r>
    </w:p>
    <w:p>
      <w:pPr>
        <w:numPr>
          <w:ilvl w:val="0"/>
          <w:numId w:val="1000"/>
        </w:numPr>
      </w:pPr>
      <w:r>
        <w:rPr>
          <w:b/>
          <w:bCs/>
        </w:rPr>
        <w:t xml:space="preserve">Note:</w:t>
      </w:r>
      <w:r>
        <w:t xml:space="preserve"> </w:t>
      </w:r>
      <w:r>
        <w:t xml:space="preserve">For qualitative risks, Risk Statements is not part of the Risk hierarchy. There is a reference between Risk Statements and Risk Statements - Intermediate level, but for qualitative risks, it is not used for data aggregation.</w:t>
      </w:r>
    </w:p>
    <w:bookmarkEnd w:id="24"/>
    <w:bookmarkStart w:id="28" w:name="Quantitative"/>
    <w:p>
      <w:pPr>
        <w:pStyle w:val="Heading2"/>
      </w:pPr>
      <w:r>
        <w:t xml:space="preserve">Quantitative</w:t>
      </w:r>
    </w:p>
    <w:p>
      <w:pPr>
        <w:pStyle w:val="FirstParagraph"/>
      </w:pPr>
      <w:r>
        <w:t xml:space="preserve">The following diagram shows the aggregation paths for quantitative risks.</w:t>
      </w:r>
    </w:p>
    <w:p>
      <w:pPr>
        <w:pStyle w:val="BodyText"/>
      </w:pPr>
      <w:r>
        <w:t xml:space="preserve">Download the source file of the diagram here:</w:t>
      </w:r>
      <w:r>
        <w:t xml:space="preserve"> </w:t>
      </w:r>
      <w:hyperlink r:id="rId20">
        <w:r>
          <w:rPr>
            <w:rStyle w:val="Hyperlink"/>
          </w:rPr>
          <w:t xml:space="preserve">Archer Insight Architecture Diagram</w:t>
        </w:r>
      </w:hyperlink>
    </w:p>
    <w:p>
      <w:pPr>
        <w:pStyle w:val="BodyText"/>
      </w:pPr>
      <w:r>
        <w:drawing>
          <wp:inline>
            <wp:extent cx="5334000" cy="3147157"/>
            <wp:effectExtent b="0" l="0" r="0" t="0"/>
            <wp:docPr descr="" title="" id="26" name="Picture"/>
            <a:graphic>
              <a:graphicData uri="http://schemas.openxmlformats.org/drawingml/2006/picture">
                <pic:pic>
                  <pic:nvPicPr>
                    <pic:cNvPr descr="C:/Users/User/HelpArcher-to-pdf/HelpArcher-to-pdf-1/images/c8c940f1abdbf1f6ba6ff0a8853d10d5.png" id="27" name="Picture"/>
                    <pic:cNvPicPr>
                      <a:picLocks noChangeArrowheads="1" noChangeAspect="1"/>
                    </pic:cNvPicPr>
                  </pic:nvPicPr>
                  <pic:blipFill>
                    <a:blip r:embed="rId25"/>
                    <a:stretch>
                      <a:fillRect/>
                    </a:stretch>
                  </pic:blipFill>
                  <pic:spPr bwMode="auto">
                    <a:xfrm>
                      <a:off x="0" y="0"/>
                      <a:ext cx="5334000" cy="3147157"/>
                    </a:xfrm>
                    <a:prstGeom prst="rect">
                      <a:avLst/>
                    </a:prstGeom>
                    <a:noFill/>
                    <a:ln w="9525">
                      <a:noFill/>
                      <a:headEnd/>
                      <a:tailEnd/>
                    </a:ln>
                  </pic:spPr>
                </pic:pic>
              </a:graphicData>
            </a:graphic>
          </wp:inline>
        </w:drawing>
      </w:r>
    </w:p>
    <w:p>
      <w:pPr>
        <w:pStyle w:val="BodyText"/>
      </w:pPr>
      <w:r>
        <w:t xml:space="preserve">Quantitative risks have multiple aggregation paths:</w:t>
      </w:r>
    </w:p>
    <w:p>
      <w:pPr>
        <w:numPr>
          <w:ilvl w:val="0"/>
          <w:numId w:val="1003"/>
        </w:numPr>
      </w:pPr>
      <w:r>
        <w:t xml:space="preserve">Into the Organizational hierarchy through any level: Business Unit, Division, or Company</w:t>
      </w:r>
    </w:p>
    <w:p>
      <w:pPr>
        <w:numPr>
          <w:ilvl w:val="0"/>
          <w:numId w:val="1003"/>
        </w:numPr>
      </w:pPr>
      <w:r>
        <w:t xml:space="preserve">Into the Risk hierarchy through any level: Risk Statements, Risk Hierarchy - Intermediate level, or Risk Hierarchy - Enterprise level.</w:t>
      </w:r>
    </w:p>
    <w:p>
      <w:pPr>
        <w:numPr>
          <w:ilvl w:val="0"/>
          <w:numId w:val="1000"/>
        </w:numPr>
      </w:pPr>
      <w:r>
        <w:rPr>
          <w:b/>
          <w:bCs/>
        </w:rPr>
        <w:t xml:space="preserve">Note:</w:t>
      </w:r>
      <w:r>
        <w:t xml:space="preserve"> </w:t>
      </w:r>
      <w:r>
        <w:t xml:space="preserve">Risk Statements is part of the Risk hierarchy for quantitative risks. The quantitative sections of all three applications display risks that are tied either directly to that level or to any of the child risks associated through the hierarchy.</w:t>
      </w:r>
    </w:p>
    <w:p>
      <w:pPr>
        <w:numPr>
          <w:ilvl w:val="0"/>
          <w:numId w:val="1003"/>
        </w:numPr>
      </w:pPr>
      <w:r>
        <w:t xml:space="preserve">Into the Applications hierarchy though Applications</w:t>
      </w:r>
    </w:p>
    <w:p>
      <w:pPr>
        <w:numPr>
          <w:ilvl w:val="0"/>
          <w:numId w:val="1003"/>
        </w:numPr>
      </w:pPr>
      <w:r>
        <w:t xml:space="preserve">Into the Business Process hierarchy through Business Processes.</w:t>
      </w:r>
    </w:p>
    <w:p>
      <w:pPr>
        <w:numPr>
          <w:ilvl w:val="0"/>
          <w:numId w:val="1003"/>
        </w:numPr>
      </w:pPr>
      <w:r>
        <w:t xml:space="preserve">Into the Facilities hierarchy through Facilities</w:t>
      </w:r>
    </w:p>
    <w:p>
      <w:pPr>
        <w:numPr>
          <w:ilvl w:val="0"/>
          <w:numId w:val="1003"/>
        </w:numPr>
      </w:pPr>
      <w:r>
        <w:t xml:space="preserve">Into the Product hierarchy through Products and Services</w:t>
      </w:r>
    </w:p>
    <w:bookmarkEnd w:id="28"/>
    <w:bookmarkStart w:id="29" w:name="RiskGenerator"/>
    <w:p>
      <w:pPr>
        <w:pStyle w:val="Heading2"/>
      </w:pPr>
      <w:r>
        <w:t xml:space="preserve">Risk Generator</w:t>
      </w:r>
    </w:p>
    <w:p>
      <w:pPr>
        <w:pStyle w:val="FirstParagraph"/>
      </w:pPr>
      <w:r>
        <w:t xml:space="preserve">The Risk Generator application allows you to automatically generate Risk records, based on selected Risk Statements and targets. When you create a new record, you select whether you want to create ordinal scale analysis risks (qualitative and semi-quantitative), quantitative risks, or both. The Risk Generator application works differently based on which you select.</w:t>
      </w:r>
    </w:p>
    <w:p>
      <w:pPr>
        <w:numPr>
          <w:ilvl w:val="0"/>
          <w:numId w:val="1004"/>
        </w:numPr>
      </w:pPr>
      <w:r>
        <w:t xml:space="preserve">For ordinal scale analysis risks, you can target any of the following applications:</w:t>
      </w:r>
    </w:p>
    <w:p>
      <w:pPr>
        <w:numPr>
          <w:ilvl w:val="1"/>
          <w:numId w:val="1005"/>
        </w:numPr>
      </w:pPr>
      <w:r>
        <w:t xml:space="preserve">Applications</w:t>
      </w:r>
    </w:p>
    <w:p>
      <w:pPr>
        <w:numPr>
          <w:ilvl w:val="1"/>
          <w:numId w:val="1005"/>
        </w:numPr>
      </w:pPr>
      <w:r>
        <w:t xml:space="preserve">Business Processes</w:t>
      </w:r>
    </w:p>
    <w:p>
      <w:pPr>
        <w:numPr>
          <w:ilvl w:val="1"/>
          <w:numId w:val="1005"/>
        </w:numPr>
      </w:pPr>
      <w:r>
        <w:t xml:space="preserve">Business Unit</w:t>
      </w:r>
    </w:p>
    <w:p>
      <w:pPr>
        <w:numPr>
          <w:ilvl w:val="1"/>
          <w:numId w:val="1005"/>
        </w:numPr>
      </w:pPr>
      <w:r>
        <w:t xml:space="preserve">Corporate Objectives</w:t>
      </w:r>
    </w:p>
    <w:p>
      <w:pPr>
        <w:numPr>
          <w:ilvl w:val="1"/>
          <w:numId w:val="1005"/>
        </w:numPr>
      </w:pPr>
      <w:r>
        <w:t xml:space="preserve">Facilities</w:t>
      </w:r>
    </w:p>
    <w:p>
      <w:pPr>
        <w:numPr>
          <w:ilvl w:val="0"/>
          <w:numId w:val="1000"/>
        </w:numPr>
      </w:pPr>
      <w:r>
        <w:t xml:space="preserve">When risks are created, they are associated with the Risk Hierarchy - Intermediate level to which the Risk Statement is tied.</w:t>
      </w:r>
    </w:p>
    <w:p>
      <w:pPr>
        <w:numPr>
          <w:ilvl w:val="0"/>
          <w:numId w:val="1006"/>
        </w:numPr>
      </w:pPr>
      <w:r>
        <w:t xml:space="preserve">For quantitative risks, you can target any of the following applications:</w:t>
      </w:r>
    </w:p>
    <w:p>
      <w:pPr>
        <w:numPr>
          <w:ilvl w:val="1"/>
          <w:numId w:val="1007"/>
        </w:numPr>
      </w:pPr>
      <w:r>
        <w:t xml:space="preserve">Applications</w:t>
      </w:r>
    </w:p>
    <w:p>
      <w:pPr>
        <w:numPr>
          <w:ilvl w:val="1"/>
          <w:numId w:val="1007"/>
        </w:numPr>
      </w:pPr>
      <w:r>
        <w:t xml:space="preserve">Business Processes</w:t>
      </w:r>
    </w:p>
    <w:p>
      <w:pPr>
        <w:numPr>
          <w:ilvl w:val="1"/>
          <w:numId w:val="1007"/>
        </w:numPr>
      </w:pPr>
      <w:r>
        <w:t xml:space="preserve">Business Unit</w:t>
      </w:r>
    </w:p>
    <w:p>
      <w:pPr>
        <w:numPr>
          <w:ilvl w:val="1"/>
          <w:numId w:val="1007"/>
        </w:numPr>
      </w:pPr>
      <w:r>
        <w:t xml:space="preserve">Product and Services</w:t>
      </w:r>
    </w:p>
    <w:p>
      <w:pPr>
        <w:numPr>
          <w:ilvl w:val="1"/>
          <w:numId w:val="1007"/>
        </w:numPr>
      </w:pPr>
      <w:r>
        <w:t xml:space="preserve">Facilities</w:t>
      </w:r>
    </w:p>
    <w:p>
      <w:pPr>
        <w:numPr>
          <w:ilvl w:val="0"/>
          <w:numId w:val="1006"/>
        </w:numPr>
      </w:pPr>
      <w:r>
        <w:t xml:space="preserve">When risks are created, they are associated with the Risk Statement.</w:t>
      </w:r>
    </w:p>
    <w:bookmarkEnd w:id="29"/>
    <w:bookmarkEnd w:id="30"/>
    <w:bookmarkEnd w:id="3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hyperlink" Id="rId20" Target="../Resources/Images/Insight/insight_architecture_3_1.vsdx" TargetMode="External" /></Relationships>
</file>

<file path=word/_rels/footnotes.xml.rels><?xml version="1.0" encoding="UTF-8"?><Relationships xmlns="http://schemas.openxmlformats.org/package/2006/relationships"><Relationship Type="http://schemas.openxmlformats.org/officeDocument/2006/relationships/hyperlink" Id="rId20" Target="../Resources/Images/Insight/insight_architecture_3_1.vsd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2025-03-24T17:12:52Z</dcterms:created>
  <dcterms:modified xsi:type="dcterms:W3CDTF">2025-03-24T17:12:52Z</dcterms:modified>
</cp:coreProperties>
</file>

<file path=docProps/custom.xml><?xml version="1.0" encoding="utf-8"?>
<Properties xmlns="http://schemas.openxmlformats.org/officeDocument/2006/custom-properties" xmlns:vt="http://schemas.openxmlformats.org/officeDocument/2006/docPropsVTypes"/>
</file>