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32.png" ContentType="image/png"/>
  <Override PartName="/word/media/rId40.png" ContentType="image/png"/>
  <Override PartName="/word/media/rId49.png" ContentType="image/png"/>
  <Override PartName="/word/media/rId29.png" ContentType="image/png"/>
  <Override PartName="/word/media/rId4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mc-main-content"/>
    <w:bookmarkStart w:id="56" w:name="installing-the-archer-insight-package-1"/>
    <w:p>
      <w:pPr>
        <w:pStyle w:val="Heading1"/>
      </w:pPr>
      <w:r>
        <w:t xml:space="preserve">Installing the</w:t>
      </w:r>
      <w:r>
        <w:t xml:space="preserve"> </w:t>
      </w:r>
      <w:r>
        <w:t xml:space="preserve">Archer Insight</w:t>
      </w:r>
      <w:r>
        <w:t xml:space="preserve"> </w:t>
      </w:r>
      <w:r>
        <w:t xml:space="preserve">Package</w:t>
      </w:r>
    </w:p>
    <w:bookmarkStart w:id="21" w:name="package-contents"/>
    <w:p>
      <w:pPr>
        <w:pStyle w:val="Heading2"/>
      </w:pPr>
      <w:bookmarkStart w:id="20" w:name="Package"/>
      <w:bookmarkEnd w:id="20"/>
      <w:r>
        <w:t xml:space="preserve">Package contents</w:t>
      </w:r>
    </w:p>
    <w:p>
      <w:pPr>
        <w:pStyle w:val="FirstParagraph"/>
      </w:pPr>
      <w:r>
        <w:t xml:space="preserve">The</w:t>
      </w:r>
      <w:r>
        <w:t xml:space="preserve"> </w:t>
      </w:r>
      <w:r>
        <w:t xml:space="preserve">Archer Insight</w:t>
      </w:r>
      <w:r>
        <w:t xml:space="preserve"> </w:t>
      </w:r>
      <w:r>
        <w:t xml:space="preserve">package contains the following elements.</w:t>
      </w:r>
    </w:p>
    <w:p>
      <w:pPr>
        <w:pStyle w:val="TableCaption"/>
      </w:pPr>
      <w:r>
        <w:t xml:space="preserve">The following table describes the elements and items within them.</w:t>
      </w:r>
    </w:p>
    <w:tbl>
      <w:tblPr>
        <w:tblStyle w:val="Table"/>
        <w:tblW w:type="auto" w:w="0"/>
        <w:tblLook w:firstRow="1" w:lastRow="0" w:firstColumn="0" w:lastColumn="0" w:noHBand="0" w:noVBand="0" w:val="0020"/>
        <w:tblCaption w:val="The following table describes the elements and items within them."/>
      </w:tblPr>
      <w:tblGrid>
        <w:gridCol w:w="3960"/>
        <w:gridCol w:w="3960"/>
      </w:tblGrid>
      <w:tr>
        <w:trPr>
          <w:tblHeader w:val="on"/>
        </w:trPr>
        <w:tc>
          <w:tcPr/>
          <w:p>
            <w:pPr>
              <w:pStyle w:val="Compact"/>
            </w:pPr>
            <w:r>
              <w:t xml:space="preserve">Element</w:t>
            </w:r>
          </w:p>
        </w:tc>
        <w:tc>
          <w:tcPr/>
          <w:p>
            <w:pPr>
              <w:pStyle w:val="Compact"/>
            </w:pPr>
            <w:r>
              <w:t xml:space="preserve">Items</w:t>
            </w:r>
          </w:p>
        </w:tc>
      </w:tr>
      <w:tr>
        <w:tc>
          <w:tcPr/>
          <w:p>
            <w:pPr>
              <w:pStyle w:val="BodyText"/>
            </w:pPr>
            <w:r>
              <w:t xml:space="preserve">Archer Insight</w:t>
            </w:r>
            <w:r>
              <w:t xml:space="preserve"> </w:t>
            </w:r>
            <w:r>
              <w:t xml:space="preserve">licensed applications</w:t>
            </w:r>
          </w:p>
        </w:tc>
        <w:tc>
          <w:tcPr/>
          <w:p>
            <w:pPr>
              <w:pStyle w:val="BodyText"/>
            </w:pPr>
            <w:r>
              <w:t xml:space="preserve">Corporate Global Variables</w:t>
            </w:r>
            <w:r>
              <w:br/>
            </w:r>
            <w:r>
              <w:t xml:space="preserve">Insight Control Probability</w:t>
            </w:r>
            <w:r>
              <w:br/>
            </w:r>
            <w:r>
              <w:t xml:space="preserve">Insight Driver Probability</w:t>
            </w:r>
            <w:r>
              <w:br/>
            </w:r>
            <w:r>
              <w:t xml:space="preserve">Insight Risk Event</w:t>
            </w:r>
            <w:r>
              <w:br/>
            </w:r>
            <w:r>
              <w:t xml:space="preserve">Insight Consequences</w:t>
            </w:r>
            <w:r>
              <w:br/>
            </w:r>
            <w:r>
              <w:t xml:space="preserve">Insight Drivers</w:t>
            </w:r>
            <w:r>
              <w:br/>
            </w:r>
            <w:r>
              <w:t xml:space="preserve">Insight Upstream Risk Probability</w:t>
            </w:r>
            <w:r>
              <w:br/>
            </w:r>
            <w:r>
              <w:t xml:space="preserve">Utility Scale</w:t>
            </w:r>
            <w:r>
              <w:br/>
            </w:r>
          </w:p>
        </w:tc>
      </w:tr>
      <w:tr>
        <w:tc>
          <w:tcPr/>
          <w:p>
            <w:pPr>
              <w:pStyle w:val="BodyText"/>
            </w:pPr>
            <w:r>
              <w:t xml:space="preserve">Prerequisite applications</w:t>
            </w:r>
          </w:p>
        </w:tc>
        <w:tc>
          <w:tcPr/>
          <w:p>
            <w:pPr>
              <w:pStyle w:val="BodyText"/>
            </w:pPr>
            <w:r>
              <w:t xml:space="preserve">Company</w:t>
            </w:r>
            <w:r>
              <w:br/>
            </w:r>
            <w:r>
              <w:t xml:space="preserve">Division</w:t>
            </w:r>
            <w:r>
              <w:br/>
            </w:r>
            <w:r>
              <w:t xml:space="preserve">Business Unit</w:t>
            </w:r>
            <w:r>
              <w:br/>
            </w:r>
            <w:r>
              <w:t xml:space="preserve">Risks</w:t>
            </w:r>
            <w:r>
              <w:br/>
            </w:r>
            <w:r>
              <w:t xml:space="preserve">Risk Statements</w:t>
            </w:r>
            <w:r>
              <w:br/>
            </w:r>
            <w:r>
              <w:t xml:space="preserve">Risk Hierarchy</w:t>
            </w:r>
            <w:r>
              <w:br/>
            </w:r>
            <w:r>
              <w:t xml:space="preserve">Risk Generator</w:t>
            </w:r>
            <w:r>
              <w:br/>
            </w:r>
            <w:r>
              <w:t xml:space="preserve">Products and Services</w:t>
            </w:r>
            <w:r>
              <w:br/>
            </w:r>
            <w:r>
              <w:t xml:space="preserve">Business Processes</w:t>
            </w:r>
            <w:r>
              <w:br/>
            </w:r>
            <w:r>
              <w:t xml:space="preserve">Control Procedures</w:t>
            </w:r>
            <w:r>
              <w:br/>
            </w:r>
            <w:r>
              <w:t xml:space="preserve">Facilities</w:t>
            </w:r>
            <w:r>
              <w:br/>
            </w:r>
            <w:r>
              <w:t xml:space="preserve">Applications</w:t>
            </w:r>
            <w:r>
              <w:br/>
            </w:r>
            <w:r>
              <w:t xml:space="preserve">Corporate Objectives</w:t>
            </w:r>
            <w:r>
              <w:br/>
            </w:r>
            <w:r>
              <w:t xml:space="preserve">Risk Approval Assessment</w:t>
            </w:r>
            <w:r>
              <w:br/>
            </w:r>
            <w:r>
              <w:t xml:space="preserve">Metrics</w:t>
            </w:r>
            <w:r>
              <w:br/>
            </w:r>
            <w:r>
              <w:t xml:space="preserve">Findings</w:t>
            </w:r>
            <w:r>
              <w:br/>
            </w:r>
            <w:r>
              <w:t xml:space="preserve">Loss Events</w:t>
            </w:r>
            <w:r>
              <w:br/>
            </w:r>
            <w:r>
              <w:t xml:space="preserve">Risk Generator</w:t>
            </w:r>
          </w:p>
        </w:tc>
      </w:tr>
      <w:tr>
        <w:tc>
          <w:tcPr/>
          <w:p>
            <w:pPr>
              <w:pStyle w:val="BodyText"/>
            </w:pPr>
            <w:r>
              <w:t xml:space="preserve">Access roles</w:t>
            </w:r>
          </w:p>
        </w:tc>
        <w:tc>
          <w:tcPr/>
          <w:p>
            <w:pPr>
              <w:pStyle w:val="BodyText"/>
            </w:pPr>
            <w:r>
              <w:t xml:space="preserve">Insight Risk Manger</w:t>
            </w:r>
            <w:r>
              <w:br/>
            </w:r>
            <w:r>
              <w:t xml:space="preserve">RM: Admin</w:t>
            </w:r>
            <w:r>
              <w:br/>
            </w:r>
            <w:r>
              <w:t xml:space="preserve">RM: Executives</w:t>
            </w:r>
            <w:r>
              <w:br/>
            </w:r>
            <w:r>
              <w:t xml:space="preserve">RM: Manager</w:t>
            </w:r>
            <w:r>
              <w:br/>
            </w:r>
            <w:r>
              <w:t xml:space="preserve">RM: Owner</w:t>
            </w:r>
            <w:r>
              <w:br/>
            </w:r>
            <w:r>
              <w:t xml:space="preserve">RM: Read Only</w:t>
            </w:r>
            <w:r>
              <w:br/>
            </w:r>
            <w:r>
              <w:t xml:space="preserve">CM: Admin</w:t>
            </w:r>
            <w:r>
              <w:br/>
            </w:r>
            <w:r>
              <w:t xml:space="preserve">CM: Executives</w:t>
            </w:r>
            <w:r>
              <w:br/>
            </w:r>
            <w:r>
              <w:t xml:space="preserve">CM: Manager</w:t>
            </w:r>
            <w:r>
              <w:br/>
            </w:r>
            <w:r>
              <w:t xml:space="preserve">CM: Owner</w:t>
            </w:r>
            <w:r>
              <w:br/>
            </w:r>
            <w:r>
              <w:t xml:space="preserve">CM: Read Only</w:t>
            </w:r>
            <w:r>
              <w:br/>
            </w:r>
            <w:r>
              <w:t xml:space="preserve">CM: Tester</w:t>
            </w:r>
            <w:r>
              <w:br/>
            </w:r>
            <w:r>
              <w:t xml:space="preserve">EM: Admin</w:t>
            </w:r>
            <w:r>
              <w:br/>
            </w:r>
            <w:r>
              <w:t xml:space="preserve">EM: Executives</w:t>
            </w:r>
            <w:r>
              <w:br/>
            </w:r>
            <w:r>
              <w:t xml:space="preserve">EM: Manager</w:t>
            </w:r>
            <w:r>
              <w:br/>
            </w:r>
            <w:r>
              <w:t xml:space="preserve">EM: Owner</w:t>
            </w:r>
            <w:r>
              <w:br/>
            </w:r>
            <w:r>
              <w:t xml:space="preserve">EM: Read Only</w:t>
            </w:r>
          </w:p>
        </w:tc>
      </w:tr>
      <w:tr>
        <w:tc>
          <w:tcPr/>
          <w:p>
            <w:pPr>
              <w:pStyle w:val="BodyText"/>
            </w:pPr>
            <w:r>
              <w:t xml:space="preserve">Dashboards</w:t>
            </w:r>
          </w:p>
        </w:tc>
        <w:tc>
          <w:tcPr/>
          <w:p>
            <w:pPr>
              <w:pStyle w:val="BodyText"/>
            </w:pPr>
            <w:r>
              <w:t xml:space="preserve">Executive Management</w:t>
            </w:r>
            <w:r>
              <w:br/>
            </w:r>
            <w:r>
              <w:t xml:space="preserve">Business Unit Manager</w:t>
            </w:r>
            <w:r>
              <w:br/>
            </w:r>
            <w:r>
              <w:t xml:space="preserve">Business Unit Owner</w:t>
            </w:r>
            <w:r>
              <w:br/>
            </w:r>
            <w:r>
              <w:t xml:space="preserve">Risk Manager</w:t>
            </w:r>
            <w:r>
              <w:br/>
            </w:r>
            <w:r>
              <w:t xml:space="preserve">Data Quality Administration</w:t>
            </w:r>
            <w:r>
              <w:br/>
            </w:r>
          </w:p>
        </w:tc>
      </w:tr>
      <w:tr>
        <w:tc>
          <w:tcPr/>
          <w:p>
            <w:pPr>
              <w:pStyle w:val="BodyText"/>
            </w:pPr>
            <w:r>
              <w:t xml:space="preserve">Workspaces</w:t>
            </w:r>
          </w:p>
        </w:tc>
        <w:tc>
          <w:tcPr/>
          <w:p>
            <w:pPr>
              <w:pStyle w:val="BodyText"/>
            </w:pPr>
            <w:r>
              <w:t xml:space="preserve">Operational Risk Management</w:t>
            </w:r>
            <w:r>
              <w:br/>
            </w:r>
            <w:r>
              <w:t xml:space="preserve">IT Security Risk Management</w:t>
            </w:r>
          </w:p>
        </w:tc>
      </w:tr>
      <w:tr>
        <w:tc>
          <w:tcPr/>
          <w:p>
            <w:pPr>
              <w:pStyle w:val="BodyText"/>
            </w:pPr>
            <w:r>
              <w:t xml:space="preserve">Data feeds</w:t>
            </w:r>
          </w:p>
        </w:tc>
        <w:tc>
          <w:tcPr/>
          <w:p>
            <w:pPr>
              <w:pStyle w:val="BodyText"/>
            </w:pPr>
            <w:r>
              <w:t xml:space="preserve">Archer Insight - Populate Control Procedures With Company IDs</w:t>
            </w:r>
            <w:r>
              <w:br/>
            </w:r>
            <w:r>
              <w:t xml:space="preserve">Archer Insight - Populate Control Procedures With Company IDs - Company Level</w:t>
            </w:r>
            <w:r>
              <w:br/>
            </w:r>
            <w:r>
              <w:t xml:space="preserve">Archer Insight - Secondary Risks</w:t>
            </w:r>
            <w:r>
              <w:br/>
            </w:r>
            <w:r>
              <w:t xml:space="preserve">Archer Insight - Secondary Risks - Removal</w:t>
            </w:r>
            <w:r>
              <w:br/>
            </w:r>
            <w:r>
              <w:t xml:space="preserve">Risk Generator</w:t>
            </w:r>
            <w:r>
              <w:br/>
            </w:r>
            <w:r>
              <w:t xml:space="preserve">Risk Generator Clear Flag</w:t>
            </w:r>
            <w:r>
              <w:br/>
            </w:r>
          </w:p>
        </w:tc>
      </w:tr>
    </w:tbl>
    <w:bookmarkEnd w:id="21"/>
    <w:bookmarkStart w:id="22" w:name="task-1-back-up-your-database"/>
    <w:p>
      <w:pPr>
        <w:pStyle w:val="Heading2"/>
      </w:pPr>
      <w:r>
        <w:t xml:space="preserve">Task 1: Back up your database</w:t>
      </w:r>
    </w:p>
    <w:p>
      <w:pPr>
        <w:pStyle w:val="FirstParagraph"/>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22"/>
    <w:bookmarkStart w:id="26" w:name="task-2-import-the-package"/>
    <w:p>
      <w:pPr>
        <w:pStyle w:val="Heading2"/>
      </w:pPr>
      <w:r>
        <w:t xml:space="preserve">Task 2: Import the package</w:t>
      </w:r>
    </w:p>
    <w:p>
      <w:pPr>
        <w:numPr>
          <w:ilvl w:val="0"/>
          <w:numId w:val="1001"/>
        </w:numPr>
      </w:pPr>
      <w:r>
        <w:t xml:space="preserve">From the menu bar, click</w:t>
      </w:r>
      <w:r>
        <w:t xml:space="preserve"> </w:t>
      </w:r>
      <w:r>
        <w:drawing>
          <wp:inline>
            <wp:extent cx="269507" cy="250256"/>
            <wp:effectExtent b="0" l="0" r="0" t="0"/>
            <wp:docPr descr="Admin menu" title="Admin menu" id="24" name="Picture"/>
            <a:graphic>
              <a:graphicData uri="http://schemas.openxmlformats.org/drawingml/2006/picture">
                <pic:pic>
                  <pic:nvPicPr>
                    <pic:cNvPr descr="C:/Users/User/HelpArcher-to-pdf/HelpArcher-to-pdf-1/images/25bc14251e8ab01d8eac796dedfbff68.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1"/>
        </w:numPr>
      </w:pPr>
      <w:r>
        <w:t xml:space="preserve">In the Available Packages section, click Import.</w:t>
      </w:r>
    </w:p>
    <w:p>
      <w:pPr>
        <w:pStyle w:val="Compact"/>
        <w:numPr>
          <w:ilvl w:val="0"/>
          <w:numId w:val="1001"/>
        </w:numPr>
      </w:pPr>
      <w:r>
        <w:t xml:space="preserve">Click Add New, then locate and select the package file that you want to import.</w:t>
      </w:r>
    </w:p>
    <w:p>
      <w:pPr>
        <w:numPr>
          <w:ilvl w:val="0"/>
          <w:numId w:val="1001"/>
        </w:numPr>
      </w:pPr>
      <w:r>
        <w:t xml:space="preserve">Click OK.</w:t>
      </w:r>
    </w:p>
    <w:p>
      <w:pPr>
        <w:numPr>
          <w:ilvl w:val="0"/>
          <w:numId w:val="1000"/>
        </w:numPr>
      </w:pPr>
      <w:r>
        <w:t xml:space="preserve">The package file is displayed in the Available Packages section and is ready for installation.</w:t>
      </w:r>
    </w:p>
    <w:bookmarkEnd w:id="26"/>
    <w:bookmarkStart w:id="46" w:name="task-3-map-objects-in-the-package"/>
    <w:p>
      <w:pPr>
        <w:pStyle w:val="Heading2"/>
      </w:pPr>
      <w:r>
        <w:t xml:space="preserve">Task 3: Map objects in the package</w:t>
      </w:r>
    </w:p>
    <w:p>
      <w:pPr>
        <w:numPr>
          <w:ilvl w:val="0"/>
          <w:numId w:val="1002"/>
        </w:numPr>
      </w:pPr>
      <w:r>
        <w:t xml:space="preserve">From the menu bar, click</w:t>
      </w:r>
      <w:r>
        <w:t xml:space="preserve"> </w:t>
      </w:r>
      <w:r>
        <w:drawing>
          <wp:inline>
            <wp:extent cx="269507" cy="250256"/>
            <wp:effectExtent b="0" l="0" r="0" t="0"/>
            <wp:docPr descr="Admin menu" title="Admin menu" id="27" name="Picture"/>
            <a:graphic>
              <a:graphicData uri="http://schemas.openxmlformats.org/drawingml/2006/picture">
                <pic:pic>
                  <pic:nvPicPr>
                    <pic:cNvPr descr="C:/Users/User/HelpArcher-to-pdf/HelpArcher-to-pdf-1/images/25bc14251e8ab01d8eac796dedfbff68.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2"/>
        </w:numPr>
      </w:pPr>
      <w:r>
        <w:t xml:space="preserve">In the Available Packages section, locate the package you want to map.</w:t>
      </w:r>
    </w:p>
    <w:p>
      <w:pPr>
        <w:numPr>
          <w:ilvl w:val="0"/>
          <w:numId w:val="1002"/>
        </w:numPr>
      </w:pPr>
      <w:r>
        <w:t xml:space="preserve">In the Actions column, click</w:t>
      </w:r>
      <w:r>
        <w:t xml:space="preserve"> </w:t>
      </w:r>
      <w:r>
        <w:drawing>
          <wp:inline>
            <wp:extent cx="192505" cy="192505"/>
            <wp:effectExtent b="0" l="0" r="0" t="0"/>
            <wp:docPr descr="Map package" title="" id="30" name="Picture"/>
            <a:graphic>
              <a:graphicData uri="http://schemas.openxmlformats.org/drawingml/2006/picture">
                <pic:pic>
                  <pic:nvPicPr>
                    <pic:cNvPr descr="C:/Users/User/HelpArcher-to-pdf/HelpArcher-to-pdf-1/images/dec12d3d4177a84082244fd404d0f568.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02"/>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192505" cy="192505"/>
                  <wp:effectExtent b="0" l="0" r="0" t="0"/>
                  <wp:docPr descr="Awaiting mapping review" title="" id="33" name="Picture"/>
                  <a:graphic>
                    <a:graphicData uri="http://schemas.openxmlformats.org/drawingml/2006/picture">
                      <pic:pic>
                        <pic:nvPicPr>
                          <pic:cNvPr descr="C:/Users/User/HelpArcher-to-pdf/HelpArcher-to-pdf-1/images/383bad451966eddda53df7a4dc02152f.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36" name="Picture"/>
                  <a:graphic>
                    <a:graphicData uri="http://schemas.openxmlformats.org/drawingml/2006/picture">
                      <pic:pic>
                        <pic:nvPicPr>
                          <pic:cNvPr descr="C:/Users/User/HelpArcher-to-pdf/HelpArcher-to-pdf-1/images/2198a4829714039fdd9326058698d291.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192505" cy="192505"/>
            <wp:effectExtent b="0" l="0" r="0" t="0"/>
            <wp:docPr descr="Awaiting Map Review Icon" title="" id="38" name="Picture"/>
            <a:graphic>
              <a:graphicData uri="http://schemas.openxmlformats.org/drawingml/2006/picture">
                <pic:pic>
                  <pic:nvPicPr>
                    <pic:cNvPr descr="C:/Users/User/HelpArcher-to-pdf/HelpArcher-to-pdf-1/images/383bad451966eddda53df7a4dc02152f.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02"/>
        </w:numPr>
      </w:pPr>
      <w:r>
        <w:t xml:space="preserve">For objects awaiting mapping review, do one of the following:</w:t>
      </w:r>
    </w:p>
    <w:p>
      <w:pPr>
        <w:pStyle w:val="Compact"/>
        <w:numPr>
          <w:ilvl w:val="1"/>
          <w:numId w:val="1003"/>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03"/>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03"/>
        </w:numPr>
      </w:pPr>
      <w:r>
        <w:t xml:space="preserve">To mark all unmapped objects as Do Not Map, click Do Not Map.</w:t>
      </w:r>
    </w:p>
    <w:p>
      <w:pPr>
        <w:numPr>
          <w:ilvl w:val="0"/>
          <w:numId w:val="1002"/>
        </w:numPr>
      </w:pPr>
      <w:r>
        <w:t xml:space="preserve">(Optional) Click</w:t>
      </w:r>
      <w:r>
        <w:t xml:space="preserve"> </w:t>
      </w:r>
      <w:r>
        <w:drawing>
          <wp:inline>
            <wp:extent cx="185437" cy="179043"/>
            <wp:effectExtent b="0" l="0" r="0" t="0"/>
            <wp:docPr descr="Filter" title="Filter" id="41" name="Picture"/>
            <a:graphic>
              <a:graphicData uri="http://schemas.openxmlformats.org/drawingml/2006/picture">
                <pic:pic>
                  <pic:nvPicPr>
                    <pic:cNvPr descr="C:/Users/User/HelpArcher-to-pdf/HelpArcher-to-pdf-1/images/71038f7c40a0b09f082536421c100579.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02"/>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44" name="Picture"/>
            <a:graphic>
              <a:graphicData uri="http://schemas.openxmlformats.org/drawingml/2006/picture">
                <pic:pic>
                  <pic:nvPicPr>
                    <pic:cNvPr descr="C:/Users/User/HelpArcher-to-pdf/HelpArcher-to-pdf-1/images/e9cc64dae4a7df3b88289da8c1c9e374.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2"/>
        </w:numPr>
      </w:pPr>
      <w:r>
        <w:t xml:space="preserve">After you review and map all objects, click Execute.</w:t>
      </w:r>
    </w:p>
    <w:p>
      <w:pPr>
        <w:numPr>
          <w:ilvl w:val="0"/>
          <w:numId w:val="1002"/>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46"/>
    <w:bookmarkStart w:id="52" w:name="task-4-install-the-package"/>
    <w:p>
      <w:pPr>
        <w:pStyle w:val="Heading2"/>
      </w:pPr>
      <w:r>
        <w:t xml:space="preserve">Task 4: Install the package</w:t>
      </w:r>
    </w:p>
    <w:p>
      <w:pPr>
        <w:numPr>
          <w:ilvl w:val="0"/>
          <w:numId w:val="1004"/>
        </w:numPr>
      </w:pPr>
      <w:r>
        <w:t xml:space="preserve">From the menu,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User/HelpArcher-to-pdf/HelpArcher-to-pdf-1/images/25bc14251e8ab01d8eac796dedfbff68.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4"/>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50" name="Picture"/>
            <a:graphic>
              <a:graphicData uri="http://schemas.openxmlformats.org/drawingml/2006/picture">
                <pic:pic>
                  <pic:nvPicPr>
                    <pic:cNvPr descr="C:/Users/User/HelpArcher-to-pdf/HelpArcher-to-pdf-1/images/a0de614762ce3077d6a20c43de0c1c72.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04"/>
        </w:numPr>
      </w:pPr>
      <w:r>
        <w:t xml:space="preserve">In the Selected Components section, click the Lookup button to open the Package Selector window.</w:t>
      </w:r>
    </w:p>
    <w:p>
      <w:pPr>
        <w:pStyle w:val="Compact"/>
        <w:numPr>
          <w:ilvl w:val="1"/>
          <w:numId w:val="1005"/>
        </w:numPr>
      </w:pPr>
      <w:r>
        <w:t xml:space="preserve">To select all components, select the top-level checkbox.</w:t>
      </w:r>
    </w:p>
    <w:p>
      <w:pPr>
        <w:pStyle w:val="Compact"/>
        <w:numPr>
          <w:ilvl w:val="1"/>
          <w:numId w:val="1005"/>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04"/>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04"/>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04"/>
        </w:numPr>
      </w:pPr>
      <w:r>
        <w:t xml:space="preserve">Click Continue to advance to the next object category in the Package Selector, and repeat steps 4 to 6. After reviewing all object categories, click OK.</w:t>
      </w:r>
    </w:p>
    <w:p>
      <w:pPr>
        <w:pStyle w:val="Compact"/>
        <w:numPr>
          <w:ilvl w:val="0"/>
          <w:numId w:val="1004"/>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04"/>
        </w:numPr>
      </w:pPr>
      <w:r>
        <w:t xml:space="preserve">Click Install.</w:t>
      </w:r>
    </w:p>
    <w:p>
      <w:pPr>
        <w:pStyle w:val="Compact"/>
        <w:numPr>
          <w:ilvl w:val="0"/>
          <w:numId w:val="1004"/>
        </w:numPr>
      </w:pPr>
      <w:r>
        <w:t xml:space="preserve">Click OK.</w:t>
      </w:r>
    </w:p>
    <w:bookmarkEnd w:id="52"/>
    <w:bookmarkStart w:id="55" w:name="Xb105cf8f098597493565028d468ae26c5166f6e"/>
    <w:p>
      <w:pPr>
        <w:pStyle w:val="Heading2"/>
      </w:pPr>
      <w:r>
        <w:t xml:space="preserve">Task 5: Review the package installation log</w:t>
      </w:r>
    </w:p>
    <w:p>
      <w:pPr>
        <w:numPr>
          <w:ilvl w:val="0"/>
          <w:numId w:val="1006"/>
        </w:numPr>
      </w:pPr>
      <w:r>
        <w:t xml:space="preserve">From the menu bar, click</w:t>
      </w:r>
      <w:r>
        <w:t xml:space="preserve"> </w:t>
      </w:r>
      <w:r>
        <w:drawing>
          <wp:inline>
            <wp:extent cx="269507" cy="250256"/>
            <wp:effectExtent b="0" l="0" r="0" t="0"/>
            <wp:docPr descr="Admin menu" title="Admin menu" id="53" name="Picture"/>
            <a:graphic>
              <a:graphicData uri="http://schemas.openxmlformats.org/drawingml/2006/picture">
                <pic:pic>
                  <pic:nvPicPr>
                    <pic:cNvPr descr="C:/Users/User/HelpArcher-to-pdf/HelpArcher-to-pdf-1/images/25bc14251e8ab01d8eac796dedfbff68.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6"/>
        </w:numPr>
      </w:pPr>
      <w:r>
        <w:t xml:space="preserve">In the Package Installation Log section, click the package that you want to view.</w:t>
      </w:r>
    </w:p>
    <w:p>
      <w:pPr>
        <w:numPr>
          <w:ilvl w:val="0"/>
          <w:numId w:val="1006"/>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06"/>
        </w:numPr>
      </w:pPr>
      <w:r>
        <w:t xml:space="preserve">Click the Export icon to export the log file.</w:t>
      </w:r>
    </w:p>
    <w:p>
      <w:pPr>
        <w:pStyle w:val="Compact"/>
        <w:numPr>
          <w:ilvl w:val="0"/>
          <w:numId w:val="1006"/>
        </w:numPr>
      </w:pPr>
      <w:r>
        <w:t xml:space="preserve">Click Close.</w:t>
      </w:r>
    </w:p>
    <w:p>
      <w:pPr>
        <w:pStyle w:val="FirstParagraph"/>
      </w:pPr>
      <w:r>
        <w:t xml:space="preserve">For a list of packaging installation log messages and remediation information for common messages, see Package Installation Log Messages.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43" Target="media/rId4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2025-03-24T17:13:08Z</dcterms:created>
  <dcterms:modified xsi:type="dcterms:W3CDTF">2025-03-24T17:13:08Z</dcterms:modified>
</cp:coreProperties>
</file>

<file path=docProps/custom.xml><?xml version="1.0" encoding="utf-8"?>
<Properties xmlns="http://schemas.openxmlformats.org/officeDocument/2006/custom-properties" xmlns:vt="http://schemas.openxmlformats.org/officeDocument/2006/docPropsVTypes"/>
</file>