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c-main-content"/>
    <w:bookmarkStart w:id="25" w:name="X59f77ef7209e74a63660ed659e18669804ed873"/>
    <w:p>
      <w:pPr>
        <w:pStyle w:val="Heading1"/>
      </w:pPr>
      <w:r>
        <w:t xml:space="preserve">Configuring Links from Archer to</w:t>
      </w:r>
      <w:r>
        <w:t xml:space="preserve"> </w:t>
      </w:r>
      <w:r>
        <w:t xml:space="preserve">Archer Insight</w:t>
      </w:r>
    </w:p>
    <w:p>
      <w:pPr>
        <w:pStyle w:val="FirstParagraph"/>
      </w:pPr>
      <w:r>
        <w:t xml:space="preserve">Archer links directly into</w:t>
      </w:r>
      <w:r>
        <w:t xml:space="preserve"> </w:t>
      </w:r>
      <w:r>
        <w:t xml:space="preserve">Archer Insight</w:t>
      </w:r>
      <w:r>
        <w:t xml:space="preserve"> </w:t>
      </w:r>
      <w:r>
        <w:t xml:space="preserve">in 3 places:</w:t>
      </w:r>
    </w:p>
    <w:p>
      <w:pPr>
        <w:numPr>
          <w:ilvl w:val="0"/>
          <w:numId w:val="1001"/>
        </w:numPr>
      </w:pPr>
      <w:r>
        <w:t xml:space="preserve">From the Applications button</w:t>
      </w:r>
      <w:r>
        <w:t xml:space="preserve"> </w:t>
      </w:r>
      <w:r>
        <w:drawing>
          <wp:inline>
            <wp:extent cx="169048" cy="169048"/>
            <wp:effectExtent b="0" l="0" r="0" t="0"/>
            <wp:docPr descr="" title="" id="21" name="Picture"/>
            <a:graphic>
              <a:graphicData uri="http://schemas.openxmlformats.org/drawingml/2006/picture">
                <pic:pic>
                  <pic:nvPicPr>
                    <pic:cNvPr descr="C:/Users/User/HelpArcher-to-pdf/HelpArcher-to-pdf-1/images/793ded9dc213809ff6fc1e7bba826c3a.png" id="22" name="Picture"/>
                    <pic:cNvPicPr>
                      <a:picLocks noChangeArrowheads="1" noChangeAspect="1"/>
                    </pic:cNvPicPr>
                  </pic:nvPicPr>
                  <pic:blipFill>
                    <a:blip r:embed="rId20"/>
                    <a:stretch>
                      <a:fillRect/>
                    </a:stretch>
                  </pic:blipFill>
                  <pic:spPr bwMode="auto">
                    <a:xfrm>
                      <a:off x="0" y="0"/>
                      <a:ext cx="169048" cy="169048"/>
                    </a:xfrm>
                    <a:prstGeom prst="rect">
                      <a:avLst/>
                    </a:prstGeom>
                    <a:noFill/>
                    <a:ln w="9525">
                      <a:noFill/>
                      <a:headEnd/>
                      <a:tailEnd/>
                    </a:ln>
                  </pic:spPr>
                </pic:pic>
              </a:graphicData>
            </a:graphic>
          </wp:inline>
        </w:drawing>
      </w:r>
      <w:r>
        <w:t xml:space="preserve"> </w:t>
      </w:r>
      <w:r>
        <w:t xml:space="preserve">in the menu bar.</w:t>
      </w:r>
    </w:p>
    <w:p>
      <w:pPr>
        <w:numPr>
          <w:ilvl w:val="0"/>
          <w:numId w:val="1001"/>
        </w:numPr>
      </w:pPr>
      <w:r>
        <w:t xml:space="preserve">From an individual Risk Event record.</w:t>
      </w:r>
    </w:p>
    <w:p>
      <w:pPr>
        <w:numPr>
          <w:ilvl w:val="0"/>
          <w:numId w:val="1001"/>
        </w:numPr>
      </w:pPr>
      <w:r>
        <w:t xml:space="preserve">From an entity record, for instance, a Business Unit record. These links will take you to</w:t>
      </w:r>
      <w:r>
        <w:t xml:space="preserve"> </w:t>
      </w:r>
      <w:hyperlink r:id="rId23">
        <w:r>
          <w:rPr>
            <w:rStyle w:val="Hyperlink"/>
          </w:rPr>
          <w:t xml:space="preserve">the dashboard</w:t>
        </w:r>
      </w:hyperlink>
      <w:r>
        <w:t xml:space="preserve">.</w:t>
      </w:r>
    </w:p>
    <w:p>
      <w:pPr>
        <w:pStyle w:val="FirstParagraph"/>
      </w:pPr>
      <w:r>
        <w:rPr>
          <w:b/>
          <w:bCs/>
        </w:rPr>
        <w:t xml:space="preserve">Note:</w:t>
      </w:r>
      <w:r>
        <w:t xml:space="preserve"> </w:t>
      </w:r>
      <w:r>
        <w:t xml:space="preserve">All links require that you have the Insight Risk Manager access role assigned.</w:t>
      </w:r>
    </w:p>
    <w:p>
      <w:pPr>
        <w:pStyle w:val="BodyText"/>
      </w:pPr>
      <w:r>
        <w:t xml:space="preserve">The record links are implemented by custom objects, which assume that you installed Archer at the root level of Microsoft Internet Information Services (IIS). If you installed your Archer system somewhere else, you need to manually update the custom objects.</w:t>
      </w:r>
    </w:p>
    <w:bookmarkStart w:id="24" w:name="update-the-custom-objects"/>
    <w:p>
      <w:pPr>
        <w:pStyle w:val="Heading2"/>
      </w:pPr>
      <w:r>
        <w:t xml:space="preserve">Update the custom objects</w:t>
      </w:r>
    </w:p>
    <w:p>
      <w:pPr>
        <w:numPr>
          <w:ilvl w:val="0"/>
          <w:numId w:val="1002"/>
        </w:numPr>
      </w:pPr>
      <w:r>
        <w:t xml:space="preserve">In Application Builder, open the application, and open the applicable field:</w:t>
      </w:r>
    </w:p>
    <w:p>
      <w:pPr>
        <w:numPr>
          <w:ilvl w:val="1"/>
          <w:numId w:val="1003"/>
        </w:numPr>
      </w:pPr>
      <w:r>
        <w:t xml:space="preserve">Risk Event application: Load Insight Quantitative Assessment Form</w:t>
      </w:r>
    </w:p>
    <w:p>
      <w:pPr>
        <w:numPr>
          <w:ilvl w:val="1"/>
          <w:numId w:val="1003"/>
        </w:numPr>
      </w:pPr>
      <w:r>
        <w:t xml:space="preserve">Entity applications: URL to Quantitative Dashboards</w:t>
      </w:r>
    </w:p>
    <w:p>
      <w:pPr>
        <w:numPr>
          <w:ilvl w:val="0"/>
          <w:numId w:val="1002"/>
        </w:numPr>
      </w:pPr>
      <w:r>
        <w:t xml:space="preserve">Open the custom object properties.</w:t>
      </w:r>
    </w:p>
    <w:p>
      <w:pPr>
        <w:numPr>
          <w:ilvl w:val="0"/>
          <w:numId w:val="1002"/>
        </w:numPr>
      </w:pPr>
      <w:r>
        <w:t xml:space="preserve">Locate the applicable line of code:</w:t>
      </w:r>
    </w:p>
    <w:p>
      <w:pPr>
        <w:numPr>
          <w:ilvl w:val="1"/>
          <w:numId w:val="1004"/>
        </w:numPr>
      </w:pPr>
      <w:r>
        <w:t xml:space="preserve">Risk Event &gt; Load Insight Quantitative Assessment Form custom object:</w:t>
      </w:r>
    </w:p>
    <w:p>
      <w:pPr>
        <w:numPr>
          <w:ilvl w:val="1"/>
          <w:numId w:val="1000"/>
        </w:numPr>
      </w:pPr>
      <w:r>
        <w:t xml:space="preserve">const baseURL = '/insight-ui/#/';</w:t>
      </w:r>
    </w:p>
    <w:p>
      <w:pPr>
        <w:numPr>
          <w:ilvl w:val="1"/>
          <w:numId w:val="1004"/>
        </w:numPr>
      </w:pPr>
      <w:r>
        <w:t xml:space="preserve">Entity application &gt; URL to Quantitative Dashboards custom object:</w:t>
      </w:r>
    </w:p>
    <w:p>
      <w:pPr>
        <w:numPr>
          <w:ilvl w:val="1"/>
          <w:numId w:val="1000"/>
        </w:numPr>
      </w:pPr>
      <w:r>
        <w:t xml:space="preserve">const insightDashboardURL = '/insight-ui/#/home';</w:t>
      </w:r>
    </w:p>
    <w:p>
      <w:pPr>
        <w:numPr>
          <w:ilvl w:val="0"/>
          <w:numId w:val="1002"/>
        </w:numPr>
      </w:pPr>
      <w:r>
        <w:t xml:space="preserve">Update the value of the constant with your installation path.</w:t>
      </w:r>
    </w:p>
    <w:p>
      <w:pPr>
        <w:numPr>
          <w:ilvl w:val="0"/>
          <w:numId w:val="1000"/>
        </w:numPr>
      </w:pPr>
      <w:r>
        <w:t xml:space="preserve">For example, if you installed your Archer system in the default location of /RSAArcher/, you would update the code as follows:</w:t>
      </w:r>
    </w:p>
    <w:p>
      <w:pPr>
        <w:numPr>
          <w:ilvl w:val="0"/>
          <w:numId w:val="1000"/>
        </w:numPr>
      </w:pPr>
      <w:r>
        <w:t xml:space="preserve">const baseURL = '/RSAArcher/insight-ui/#/;</w:t>
      </w:r>
    </w:p>
    <w:p>
      <w:pPr>
        <w:numPr>
          <w:ilvl w:val="0"/>
          <w:numId w:val="1000"/>
        </w:numPr>
      </w:pPr>
      <w:r>
        <w:t xml:space="preserve">const insightDashboardURL= 'RSAArcher/insight-ui/#/home';</w:t>
      </w:r>
    </w:p>
    <w:p>
      <w:pPr>
        <w:numPr>
          <w:ilvl w:val="0"/>
          <w:numId w:val="1000"/>
        </w:numPr>
      </w:pPr>
      <w:r>
        <w:rPr>
          <w:b/>
          <w:bCs/>
        </w:rPr>
        <w:t xml:space="preserve">Note:</w:t>
      </w:r>
      <w:r>
        <w:t xml:space="preserve"> </w:t>
      </w:r>
      <w:r>
        <w:t xml:space="preserve">The /RSAArcher/ folder is renamed to /Archer/ if you are on a new installations of Platform 6.14 Patch 1.</w:t>
      </w:r>
    </w:p>
    <w:p>
      <w:pPr>
        <w:numPr>
          <w:ilvl w:val="0"/>
          <w:numId w:val="1000"/>
        </w:numPr>
      </w:pPr>
      <w:r>
        <w:rPr>
          <w:b/>
          <w:bCs/>
        </w:rPr>
        <w:t xml:space="preserve">Important:</w:t>
      </w:r>
      <w:r>
        <w:t xml:space="preserve"> </w:t>
      </w:r>
      <w:r>
        <w:t xml:space="preserve">The case of your constant must match the case of your base URL in the Archer Control Panel.</w:t>
      </w:r>
    </w:p>
    <w:bookmarkEnd w:id="24"/>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insight_dashboard.htm" TargetMode="External" /></Relationships>
</file>

<file path=word/_rels/footnotes.xml.rels><?xml version="1.0" encoding="UTF-8"?><Relationships xmlns="http://schemas.openxmlformats.org/package/2006/relationships"><Relationship Type="http://schemas.openxmlformats.org/officeDocument/2006/relationships/hyperlink" Id="rId23" Target="insight_dashboard.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2025-03-24T17:13:21Z</dcterms:created>
  <dcterms:modified xsi:type="dcterms:W3CDTF">2025-03-24T17:13:21Z</dcterms:modified>
</cp:coreProperties>
</file>

<file path=docProps/custom.xml><?xml version="1.0" encoding="utf-8"?>
<Properties xmlns="http://schemas.openxmlformats.org/officeDocument/2006/custom-properties" xmlns:vt="http://schemas.openxmlformats.org/officeDocument/2006/docPropsVTypes"/>
</file>