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using-the-risk-event-listing-page-1"/>
    <w:p>
      <w:pPr>
        <w:pStyle w:val="Heading1"/>
      </w:pPr>
      <w:r>
        <w:t xml:space="preserve">Using the Risk Event Listing Page</w:t>
      </w:r>
    </w:p>
    <w:p>
      <w:pPr>
        <w:pStyle w:val="FirstParagraph"/>
      </w:pPr>
      <w:r>
        <w:t xml:space="preserve">The Risk Event listing page allows you to access all of the risk events available in Archer Insight.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OpeningtheRiskEventlistingpage">
        <w:r>
          <w:rPr>
            <w:rStyle w:val="Hyperlink"/>
          </w:rPr>
          <w:t xml:space="preserve">Opening the Risk Event listing page</w:t>
        </w:r>
      </w:hyperlink>
    </w:p>
    <w:p>
      <w:pPr>
        <w:pStyle w:val="Compact"/>
        <w:numPr>
          <w:ilvl w:val="0"/>
          <w:numId w:val="1001"/>
        </w:numPr>
      </w:pPr>
      <w:hyperlink w:anchor="Understandingthelistingpage">
        <w:r>
          <w:rPr>
            <w:rStyle w:val="Hyperlink"/>
          </w:rPr>
          <w:t xml:space="preserve">Understanding the listing page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Impactscores">
        <w:r>
          <w:rPr>
            <w:rStyle w:val="Hyperlink"/>
          </w:rPr>
          <w:t xml:space="preserve">Impact scores</w:t>
        </w:r>
      </w:hyperlink>
    </w:p>
    <w:p>
      <w:pPr>
        <w:pStyle w:val="Compact"/>
        <w:numPr>
          <w:ilvl w:val="1"/>
          <w:numId w:val="1002"/>
        </w:numPr>
      </w:pPr>
      <w:hyperlink w:anchor="Listingpagefields">
        <w:r>
          <w:rPr>
            <w:rStyle w:val="Hyperlink"/>
          </w:rPr>
          <w:t xml:space="preserve">Listing page fields</w:t>
        </w:r>
      </w:hyperlink>
    </w:p>
    <w:bookmarkStart w:id="23" w:name="OpeningtheRiskEventlistingpage"/>
    <w:p>
      <w:pPr>
        <w:pStyle w:val="Heading2"/>
      </w:pPr>
      <w:r>
        <w:t xml:space="preserve">Opening the Risk Event listing page</w:t>
      </w:r>
    </w:p>
    <w:p>
      <w:pPr>
        <w:pStyle w:val="FirstParagraph"/>
      </w:pPr>
      <w:r>
        <w:t xml:space="preserve">From the menu button (</w:t>
      </w:r>
      <w:r>
        <w:drawing>
          <wp:inline>
            <wp:extent cx="207468" cy="192100"/>
            <wp:effectExtent b="0" l="0" r="0" t="0"/>
            <wp:docPr descr="Menu button" title="" id="21" name="Picture"/>
            <a:graphic>
              <a:graphicData uri="http://schemas.openxmlformats.org/drawingml/2006/picture">
                <pic:pic>
                  <pic:nvPicPr>
                    <pic:cNvPr descr="C:/Users/User/HelpArcher-to-pdf/HelpArcher-to-pdf-1/images/8bcb0dff8c231b1de275e26e2c84c62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), click Risk Events.</w:t>
      </w:r>
    </w:p>
    <w:bookmarkEnd w:id="23"/>
    <w:bookmarkStart w:id="28" w:name="Understandingthelistingpage"/>
    <w:p>
      <w:pPr>
        <w:pStyle w:val="Heading2"/>
      </w:pPr>
      <w:r>
        <w:t xml:space="preserve">Understanding the listing page</w:t>
      </w:r>
    </w:p>
    <w:bookmarkStart w:id="25" w:name="Impactscores"/>
    <w:p>
      <w:pPr>
        <w:pStyle w:val="Heading3"/>
      </w:pPr>
      <w:r>
        <w:t xml:space="preserve">Impact scores</w:t>
      </w:r>
    </w:p>
    <w:p>
      <w:pPr>
        <w:pStyle w:val="FirstParagraph"/>
      </w:pPr>
      <w:r>
        <w:t xml:space="preserve">The system calculates impact scores for each risk event.</w:t>
      </w:r>
    </w:p>
    <w:p>
      <w:pPr>
        <w:pStyle w:val="BodyText"/>
      </w:pPr>
      <w:r>
        <w:t xml:space="preserve">Impact scores can be economic or total:</w:t>
      </w:r>
    </w:p>
    <w:p>
      <w:pPr>
        <w:pStyle w:val="Compact"/>
        <w:numPr>
          <w:ilvl w:val="0"/>
          <w:numId w:val="1003"/>
        </w:numPr>
      </w:pPr>
      <w:r>
        <w:t xml:space="preserve">Economic means the expected impact based on all financial consequences.</w:t>
      </w:r>
    </w:p>
    <w:p>
      <w:pPr>
        <w:pStyle w:val="Compact"/>
        <w:numPr>
          <w:ilvl w:val="0"/>
          <w:numId w:val="1003"/>
        </w:numPr>
      </w:pPr>
      <w:r>
        <w:t xml:space="preserve">Total means the expected impact based on all consequences (financial and non-financial). The economic equivalent for each consequence is totaled and then converted to the</w:t>
      </w:r>
      <w:r>
        <w:t xml:space="preserve"> </w:t>
      </w:r>
      <w:hyperlink r:id="rId24">
        <w:r>
          <w:rPr>
            <w:rStyle w:val="Hyperlink"/>
          </w:rPr>
          <w:t xml:space="preserve">utility scale</w:t>
        </w:r>
      </w:hyperlink>
      <w:r>
        <w:t xml:space="preserve">.</w:t>
      </w:r>
    </w:p>
    <w:p>
      <w:pPr>
        <w:pStyle w:val="FirstParagraph"/>
      </w:pPr>
      <w:r>
        <w:t xml:space="preserve">Impact scores can also be actual, full, or inherent:</w:t>
      </w:r>
    </w:p>
    <w:p>
      <w:pPr>
        <w:numPr>
          <w:ilvl w:val="0"/>
          <w:numId w:val="1004"/>
        </w:numPr>
      </w:pPr>
      <w:r>
        <w:t xml:space="preserve">Actual means based on all preventive and mitigating controls in their current status.</w:t>
      </w:r>
    </w:p>
    <w:p>
      <w:pPr>
        <w:numPr>
          <w:ilvl w:val="0"/>
          <w:numId w:val="1004"/>
        </w:numPr>
      </w:pPr>
      <w:r>
        <w:t xml:space="preserve">Full means assuming all preventive and mitigating controls are fully effective.</w:t>
      </w:r>
    </w:p>
    <w:p>
      <w:pPr>
        <w:numPr>
          <w:ilvl w:val="0"/>
          <w:numId w:val="1004"/>
        </w:numPr>
      </w:pPr>
      <w:r>
        <w:t xml:space="preserve">Inherent means without any preventive and mitigating controls in place</w:t>
      </w:r>
    </w:p>
    <w:bookmarkEnd w:id="25"/>
    <w:bookmarkStart w:id="27" w:name="Listingpagefields"/>
    <w:p>
      <w:pPr>
        <w:pStyle w:val="Heading3"/>
      </w:pPr>
      <w:r>
        <w:t xml:space="preserve">Listing page fields</w:t>
      </w:r>
    </w:p>
    <w:p>
      <w:pPr>
        <w:pStyle w:val="TableCaption"/>
      </w:pPr>
      <w:r>
        <w:t xml:space="preserve">The following table describes each field and its source in Archer.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describes each field and its source in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Column</w:t>
            </w:r>
          </w:p>
        </w:tc>
        <w:tc>
          <w:tcPr/>
          <w:p>
            <w:pPr>
              <w:pStyle w:val="BodyText"/>
            </w:pPr>
            <w:r>
              <w:t xml:space="preserve">Source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Risk Event Name field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Assessment Type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Quantitative Assessment Type field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Parent Risk</w:t>
            </w:r>
          </w:p>
        </w:tc>
        <w:tc>
          <w:tcPr/>
          <w:p>
            <w:pPr>
              <w:pStyle w:val="BodyText"/>
            </w:pPr>
            <w:r>
              <w:t xml:space="preserve">Insight Risk Event &gt; Risk field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Status and Explicitly Exclude fields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Rate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Number of Occurrences - Actual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Economic Impact - Actual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Economic Impact - 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Economic Impact - Full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Economic Impact - Actual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Economic Impact - Inherent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Total Impact - Actual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Total Impact - Full (Utility Scale)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Total Impact - Full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Total Impact - Actual (Utility Scale)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Total Impact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Total Impact - Inherent (Utility Scale)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(off-grid by default)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Risk Event ID field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Applicable hierarchies</w:t>
            </w:r>
            <w:r>
              <w:t xml:space="preserve"> </w:t>
            </w:r>
            <w:r>
              <w:t xml:space="preserve">(off-grid by default)</w:t>
            </w:r>
          </w:p>
        </w:tc>
        <w:tc>
          <w:tcPr/>
          <w:p>
            <w:pPr>
              <w:pStyle w:val="BodyText"/>
            </w:pPr>
            <w:r>
              <w:t xml:space="preserve">The source fields for these columns depend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which hierarchies you have configured</w:t>
              </w:r>
            </w:hyperlink>
            <w:r>
              <w:t xml:space="preserve">.</w:t>
            </w:r>
          </w:p>
        </w:tc>
      </w:tr>
    </w:tbl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insight_uc_setting_up.htm#Set" TargetMode="External" /><Relationship Type="http://schemas.openxmlformats.org/officeDocument/2006/relationships/hyperlink" Id="rId24" Target="insight_uc_setting_up.htm#Task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insight_uc_setting_up.htm#Set" TargetMode="External" /><Relationship Type="http://schemas.openxmlformats.org/officeDocument/2006/relationships/hyperlink" Id="rId24" Target="insight_uc_setting_up.htm#Task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2025-03-24T17:13:35Z</dcterms:created>
  <dcterms:modified xsi:type="dcterms:W3CDTF">2025-03-24T17:13:35Z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