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mc-main-content"/>
    <w:p>
      <w:pPr>
        <w:pStyle w:val="FirstParagraph"/>
      </w:pPr>
      <w:bookmarkStart w:id="20" w:name="aanchor249"/>
      <w:bookmarkEnd w:id="20"/>
    </w:p>
    <w:bookmarkStart w:id="74" w:name="soluções-1"/>
    <w:p>
      <w:pPr>
        <w:pStyle w:val="Heading1"/>
      </w:pPr>
      <w:r>
        <w:t xml:space="preserve">Soluções</w:t>
      </w:r>
    </w:p>
    <w:p>
      <w:pPr>
        <w:pStyle w:val="FirstParagraph"/>
      </w:pPr>
      <w:r>
        <w:t xml:space="preserve">As soluções agrupam</w:t>
      </w:r>
      <w:r>
        <w:t xml:space="preserve"> </w:t>
      </w:r>
      <w:hyperlink r:id="rId21">
        <w:r>
          <w:rPr>
            <w:rStyle w:val="Hyperlink"/>
          </w:rPr>
          <w:t xml:space="preserve">aplicativos</w:t>
        </w:r>
      </w:hyperlink>
      <w:r>
        <w:t xml:space="preserve"> </w:t>
      </w:r>
      <w:r>
        <w:t xml:space="preserve">e</w:t>
      </w:r>
      <w:r>
        <w:t xml:space="preserve"> </w:t>
      </w:r>
      <w:hyperlink r:id="rId22">
        <w:r>
          <w:rPr>
            <w:rStyle w:val="Hyperlink"/>
          </w:rPr>
          <w:t xml:space="preserve">questionários</w:t>
        </w:r>
      </w:hyperlink>
      <w:r>
        <w:t xml:space="preserve"> </w:t>
      </w:r>
      <w:r>
        <w:t xml:space="preserve">em casos de uso baseados em atividade para atender a uma necessidade de negócios específica.</w:t>
      </w:r>
    </w:p>
    <w:p>
      <w:pPr>
        <w:pStyle w:val="BodyText"/>
      </w:pPr>
      <w:r>
        <w:t xml:space="preserve">O Archer fornece soluções integradas ou você pode</w:t>
      </w:r>
      <w:r>
        <w:t xml:space="preserve"> </w:t>
      </w:r>
      <w:hyperlink r:id="rId23">
        <w:r>
          <w:rPr>
            <w:rStyle w:val="Hyperlink"/>
          </w:rPr>
          <w:t xml:space="preserve">criar aplicativos e soluções personalizadas</w:t>
        </w:r>
      </w:hyperlink>
      <w:r>
        <w:t xml:space="preserve"> </w:t>
      </w:r>
      <w:r>
        <w:t xml:space="preserve">para seus dados.</w:t>
      </w:r>
    </w:p>
    <w:p>
      <w:pPr>
        <w:pStyle w:val="BodyText"/>
      </w:pPr>
      <w:r>
        <w:t xml:space="preserve">As soluções são exibidas em um</w:t>
      </w:r>
      <w:r>
        <w:t xml:space="preserve"> </w:t>
      </w:r>
      <w:hyperlink r:id="rId24">
        <w:r>
          <w:rPr>
            <w:rStyle w:val="Hyperlink"/>
          </w:rPr>
          <w:t xml:space="preserve">espaço de trabalho</w:t>
        </w:r>
      </w:hyperlink>
      <w:r>
        <w:t xml:space="preserve">, que é como os usuários acessam aplicativos individuais. Uma solução pode ser usada em vários espaços de trabalho.</w:t>
      </w:r>
    </w:p>
    <w:p>
      <w:pPr>
        <w:pStyle w:val="BodyText"/>
      </w:pPr>
      <w:r>
        <w:t xml:space="preserve">Nesta página</w:t>
      </w:r>
    </w:p>
    <w:p>
      <w:pPr>
        <w:pStyle w:val="Compact"/>
        <w:numPr>
          <w:ilvl w:val="0"/>
          <w:numId w:val="1001"/>
        </w:numPr>
      </w:pPr>
      <w:hyperlink w:anchor="Solu%C3%A7%C3%B5esArcher">
        <w:r>
          <w:rPr>
            <w:rStyle w:val="Hyperlink"/>
          </w:rPr>
          <w:t xml:space="preserve">Soluções Archer</w:t>
        </w:r>
      </w:hyperlink>
    </w:p>
    <w:p>
      <w:pPr>
        <w:pStyle w:val="Compact"/>
        <w:numPr>
          <w:ilvl w:val="1"/>
          <w:numId w:val="1002"/>
        </w:numPr>
      </w:pPr>
      <w:hyperlink w:anchor="Governan%C3%A7adeIA">
        <w:r>
          <w:rPr>
            <w:rStyle w:val="Hyperlink"/>
          </w:rPr>
          <w:t xml:space="preserve">Governança de IA</w:t>
        </w:r>
      </w:hyperlink>
    </w:p>
    <w:p>
      <w:pPr>
        <w:pStyle w:val="Compact"/>
        <w:numPr>
          <w:ilvl w:val="1"/>
          <w:numId w:val="1002"/>
        </w:numPr>
      </w:pPr>
      <w:hyperlink w:anchor="Gerenciamentodeauditoria">
        <w:r>
          <w:rPr>
            <w:rStyle w:val="Hyperlink"/>
          </w:rPr>
          <w:t xml:space="preserve">Gerenciamento de auditoria</w:t>
        </w:r>
      </w:hyperlink>
    </w:p>
    <w:p>
      <w:pPr>
        <w:pStyle w:val="Compact"/>
        <w:numPr>
          <w:ilvl w:val="1"/>
          <w:numId w:val="1002"/>
        </w:numPr>
      </w:pPr>
      <w:hyperlink w:anchor="Xc3ef5e4e3968746bd625ffaf8a96e2fdc60664c">
        <w:r>
          <w:rPr>
            <w:rStyle w:val="Hyperlink"/>
          </w:rPr>
          <w:t xml:space="preserve">Gerenciamento do risco operacional e corporativo</w:t>
        </w:r>
      </w:hyperlink>
    </w:p>
    <w:p>
      <w:pPr>
        <w:pStyle w:val="Compact"/>
        <w:numPr>
          <w:ilvl w:val="1"/>
          <w:numId w:val="1002"/>
        </w:numPr>
      </w:pPr>
      <w:hyperlink w:anchor="GerenciamentodeESG">
        <w:r>
          <w:rPr>
            <w:rStyle w:val="Hyperlink"/>
          </w:rPr>
          <w:t xml:space="preserve">Gerenciamento de ESG</w:t>
        </w:r>
      </w:hyperlink>
    </w:p>
    <w:p>
      <w:pPr>
        <w:pStyle w:val="Compact"/>
        <w:numPr>
          <w:ilvl w:val="1"/>
          <w:numId w:val="1002"/>
        </w:numPr>
      </w:pPr>
      <w:hyperlink w:anchor="GerenciamentoderiscosdeTIeseguran%C3%A7a">
        <w:r>
          <w:rPr>
            <w:rStyle w:val="Hyperlink"/>
          </w:rPr>
          <w:t xml:space="preserve">Gerenciamento de riscos de TI e segurança</w:t>
        </w:r>
      </w:hyperlink>
    </w:p>
    <w:p>
      <w:pPr>
        <w:pStyle w:val="Compact"/>
        <w:numPr>
          <w:ilvl w:val="1"/>
          <w:numId w:val="1002"/>
        </w:numPr>
      </w:pPr>
      <w:hyperlink w:anchor="Setorp%C3%BAblico">
        <w:r>
          <w:rPr>
            <w:rStyle w:val="Hyperlink"/>
          </w:rPr>
          <w:t xml:space="preserve">Setor público</w:t>
        </w:r>
      </w:hyperlink>
    </w:p>
    <w:p>
      <w:pPr>
        <w:pStyle w:val="Compact"/>
        <w:numPr>
          <w:ilvl w:val="1"/>
          <w:numId w:val="1002"/>
        </w:numPr>
      </w:pPr>
      <w:hyperlink w:anchor="X1074288afddcf2884cb9549c23393cef6df6d40">
        <w:r>
          <w:rPr>
            <w:rStyle w:val="Hyperlink"/>
          </w:rPr>
          <w:t xml:space="preserve">Gerenciamento de conformidade regulamentar e corporativa</w:t>
        </w:r>
      </w:hyperlink>
    </w:p>
    <w:p>
      <w:pPr>
        <w:pStyle w:val="Compact"/>
        <w:numPr>
          <w:ilvl w:val="1"/>
          <w:numId w:val="1002"/>
        </w:numPr>
      </w:pPr>
      <w:hyperlink w:anchor="Gerenciamentoderesili%C3%AAncia">
        <w:r>
          <w:rPr>
            <w:rStyle w:val="Hyperlink"/>
          </w:rPr>
          <w:t xml:space="preserve">Gerenciamento de resiliência</w:t>
        </w:r>
      </w:hyperlink>
    </w:p>
    <w:p>
      <w:pPr>
        <w:pStyle w:val="Compact"/>
        <w:numPr>
          <w:ilvl w:val="1"/>
          <w:numId w:val="1002"/>
        </w:numPr>
      </w:pPr>
      <w:hyperlink w:anchor="Gerenciamentoderiscosdeterceiros">
        <w:r>
          <w:rPr>
            <w:rStyle w:val="Hyperlink"/>
          </w:rPr>
          <w:t xml:space="preserve">Gerenciamento de riscos de terceiros</w:t>
        </w:r>
      </w:hyperlink>
    </w:p>
    <w:p>
      <w:pPr>
        <w:pStyle w:val="Compact"/>
        <w:numPr>
          <w:ilvl w:val="1"/>
          <w:numId w:val="1002"/>
        </w:numPr>
      </w:pPr>
      <w:hyperlink w:anchor="Dicion%C3%A1riosdedados">
        <w:r>
          <w:rPr>
            <w:rStyle w:val="Hyperlink"/>
          </w:rPr>
          <w:t xml:space="preserve">Dicionários de dados</w:t>
        </w:r>
      </w:hyperlink>
    </w:p>
    <w:p>
      <w:pPr>
        <w:pStyle w:val="Compact"/>
        <w:numPr>
          <w:ilvl w:val="0"/>
          <w:numId w:val="1001"/>
        </w:numPr>
      </w:pPr>
      <w:hyperlink w:anchor="Xd2cab7cfd61f7493f05f1fb4ce5b6d7199a0945">
        <w:r>
          <w:rPr>
            <w:rStyle w:val="Hyperlink"/>
          </w:rPr>
          <w:t xml:space="preserve">Preciso de ajuda para usar um aplicativo ou questionário específico</w:t>
        </w:r>
      </w:hyperlink>
    </w:p>
    <w:p>
      <w:pPr>
        <w:pStyle w:val="Compact"/>
        <w:numPr>
          <w:ilvl w:val="0"/>
          <w:numId w:val="1001"/>
        </w:numPr>
      </w:pPr>
      <w:hyperlink w:anchor="Aplicativosdosistema">
        <w:r>
          <w:rPr>
            <w:rStyle w:val="Hyperlink"/>
          </w:rPr>
          <w:t xml:space="preserve">Aplicativos do sistema</w:t>
        </w:r>
      </w:hyperlink>
    </w:p>
    <w:p>
      <w:pPr>
        <w:pStyle w:val="Compact"/>
        <w:numPr>
          <w:ilvl w:val="0"/>
          <w:numId w:val="1001"/>
        </w:numPr>
      </w:pPr>
      <w:hyperlink w:anchor="Criandosolu%C3%A7%C3%B5es">
        <w:r>
          <w:rPr>
            <w:rStyle w:val="Hyperlink"/>
          </w:rPr>
          <w:t xml:space="preserve">Criando soluções</w:t>
        </w:r>
      </w:hyperlink>
    </w:p>
    <w:p>
      <w:pPr>
        <w:pStyle w:val="Compact"/>
        <w:numPr>
          <w:ilvl w:val="0"/>
          <w:numId w:val="1001"/>
        </w:numPr>
      </w:pPr>
      <w:hyperlink w:anchor="Aplicativossobdemanda">
        <w:r>
          <w:rPr>
            <w:rStyle w:val="Hyperlink"/>
          </w:rPr>
          <w:t xml:space="preserve">Aplicativos sob demanda</w:t>
        </w:r>
      </w:hyperlink>
    </w:p>
    <w:bookmarkStart w:id="43" w:name="SoluçõesArcher"/>
    <w:p>
      <w:pPr>
        <w:pStyle w:val="Heading2"/>
      </w:pPr>
      <w:r>
        <w:t xml:space="preserve">Soluções Archer</w:t>
      </w:r>
    </w:p>
    <w:p>
      <w:pPr>
        <w:pStyle w:val="FirstParagraph"/>
      </w:pPr>
      <w:r>
        <w:t xml:space="preserve">Cada uma das áreas de solução do Archer é suportada por casos de uso da solução específicos, projetados para fornecer a cada cliente Archer os casos de uso necessários com base na maturidade do programa de gerenciamento de riscos de sua organização. Os casos de uso da solução Archer utilizam as melhores práticas do setor para iniciar com eficiência um programa eficaz de risco e conformidade que pode ser expandido gradativamente conforme as necessidades de risco e conformidade da organização aumentam.</w:t>
      </w:r>
    </w:p>
    <w:bookmarkStart w:id="25" w:name="GovernançadeIA"/>
    <w:p>
      <w:pPr>
        <w:pStyle w:val="Heading3"/>
      </w:pPr>
      <w:r>
        <w:t xml:space="preserve">Governança de IA</w:t>
      </w:r>
    </w:p>
    <w:p>
      <w:pPr>
        <w:pStyle w:val="FirstParagraph"/>
      </w:pPr>
      <w:r>
        <w:t xml:space="preserve">Archer</w:t>
      </w:r>
      <w:r>
        <w:t xml:space="preserve"> </w:t>
      </w:r>
      <w:r>
        <w:t xml:space="preserve">A Governança de IA ajuda você a identificar, organizar e avaliar como a IA é usada ou desenvolvida dentro da sua organização. Com a tecnologia de IA avançando mais rápido que as regulamentações, as empresas devem implementar proativamente práticas de IA responsáveis para garantir o uso ético, proteger a privacidade dos dados e se preparar para as próximas regulamentações complexas.</w:t>
      </w:r>
    </w:p>
    <w:p>
      <w:pPr>
        <w:pStyle w:val="BodyText"/>
      </w:pPr>
      <w:r>
        <w:t xml:space="preserve">A governança de IA inclui o seguinte caso de uso:</w:t>
      </w:r>
    </w:p>
    <w:p>
      <w:pPr>
        <w:numPr>
          <w:ilvl w:val="0"/>
          <w:numId w:val="1003"/>
        </w:numPr>
      </w:pPr>
      <w:r>
        <w:t xml:space="preserve">Governança de IA</w:t>
      </w:r>
    </w:p>
    <w:p>
      <w:pPr>
        <w:pStyle w:val="FirstParagraph"/>
      </w:pPr>
      <w:r>
        <w:t xml:space="preserve">Consulte Ajuda da Governança de IA para obter informações sobre cada solução e caso de uso.</w:t>
      </w:r>
    </w:p>
    <w:bookmarkEnd w:id="25"/>
    <w:bookmarkStart w:id="27" w:name="Gerenciamentodeauditoria"/>
    <w:p>
      <w:pPr>
        <w:pStyle w:val="Heading3"/>
      </w:pPr>
      <w:r>
        <w:t xml:space="preserve">Gerenciamento de auditoria</w:t>
      </w:r>
    </w:p>
    <w:p>
      <w:pPr>
        <w:pStyle w:val="FirstParagraph"/>
      </w:pPr>
      <w:r>
        <w:t xml:space="preserve">O</w:t>
      </w:r>
      <w:r>
        <w:t xml:space="preserve"> </w:t>
      </w:r>
      <w:r>
        <w:t xml:space="preserve">Archer</w:t>
      </w:r>
      <w:r>
        <w:t xml:space="preserve"> </w:t>
      </w:r>
      <w:r>
        <w:t xml:space="preserve">Audit Management coloca você no controle do ciclo de vida completo de auditoria, aprimorando a governança das atividades relacionadas a auditoria e fornecendo integração às funções de risco e controle. Com o</w:t>
      </w:r>
      <w:r>
        <w:t xml:space="preserve"> </w:t>
      </w:r>
      <w:r>
        <w:t xml:space="preserve">Archer</w:t>
      </w:r>
      <w:r>
        <w:t xml:space="preserve">, você pode transformar a eficiência do departamento de auditoria, concluir mais rapidamente auditorias com escopo de risco e cooperar com a empresa para atingir os objetivos da organização.</w:t>
      </w:r>
    </w:p>
    <w:p>
      <w:pPr>
        <w:pStyle w:val="BodyText"/>
      </w:pPr>
      <w:r>
        <w:t xml:space="preserve">O Gerenciamento de auditoria inclui os seguintes casos de uso:</w:t>
      </w:r>
    </w:p>
    <w:p>
      <w:pPr>
        <w:numPr>
          <w:ilvl w:val="0"/>
          <w:numId w:val="1004"/>
        </w:numPr>
      </w:pPr>
      <w:r>
        <w:t xml:space="preserve">Gerenciamento de problemas</w:t>
      </w:r>
    </w:p>
    <w:p>
      <w:pPr>
        <w:numPr>
          <w:ilvl w:val="0"/>
          <w:numId w:val="1004"/>
        </w:numPr>
      </w:pPr>
      <w:r>
        <w:t xml:space="preserve">Projetos e documentação de auditoria</w:t>
      </w:r>
    </w:p>
    <w:p>
      <w:pPr>
        <w:numPr>
          <w:ilvl w:val="0"/>
          <w:numId w:val="1004"/>
        </w:numPr>
      </w:pPr>
      <w:r>
        <w:t xml:space="preserve">Planejamento de auditoria e qualidade</w:t>
      </w:r>
    </w:p>
    <w:p>
      <w:pPr>
        <w:pStyle w:val="FirstParagraph"/>
      </w:pPr>
      <w:r>
        <w:t xml:space="preserve">Consulte</w:t>
      </w:r>
      <w:r>
        <w:t xml:space="preserve"> </w:t>
      </w:r>
      <w:hyperlink r:id="rId26">
        <w:r>
          <w:rPr>
            <w:rStyle w:val="Hyperlink"/>
          </w:rPr>
          <w:t xml:space="preserve">Ajuda do Gerenciamento de auditoria</w:t>
        </w:r>
      </w:hyperlink>
      <w:r>
        <w:t xml:space="preserve"> </w:t>
      </w:r>
      <w:r>
        <w:t xml:space="preserve">para obter informações sobre cada solução e caso de uso.</w:t>
      </w:r>
    </w:p>
    <w:bookmarkEnd w:id="27"/>
    <w:bookmarkStart w:id="29" w:name="Xc3ef5e4e3968746bd625ffaf8a96e2fdc60664c"/>
    <w:p>
      <w:pPr>
        <w:pStyle w:val="Heading3"/>
      </w:pPr>
      <w:r>
        <w:t xml:space="preserve">Gerenciamento do risco operacional e corporativo</w:t>
      </w:r>
    </w:p>
    <w:p>
      <w:pPr>
        <w:pStyle w:val="FirstParagraph"/>
      </w:pPr>
      <w:r>
        <w:t xml:space="preserve">O Gerenciamento do risco operacional do</w:t>
      </w:r>
      <w:r>
        <w:t xml:space="preserve"> </w:t>
      </w:r>
      <w:r>
        <w:t xml:space="preserve">Archer</w:t>
      </w:r>
      <w:r>
        <w:t xml:space="preserve"> </w:t>
      </w:r>
      <w:r>
        <w:t xml:space="preserve">facilita o envolvimento de sua primeira linha de defesa para identificar e avaliar o risco, julgar, aprovar e responder aos eventos de perda, prever os principais indicadores de risco e gerenciar tarefas diárias, problemas e planos de remediação.</w:t>
      </w:r>
    </w:p>
    <w:p>
      <w:pPr>
        <w:pStyle w:val="BodyText"/>
      </w:pPr>
      <w:r>
        <w:t xml:space="preserve">O Gerenciamento do risco operacional e corporativo inclui os seguintes casos de uso:</w:t>
      </w:r>
    </w:p>
    <w:p>
      <w:pPr>
        <w:numPr>
          <w:ilvl w:val="0"/>
          <w:numId w:val="1005"/>
        </w:numPr>
      </w:pPr>
      <w:r>
        <w:t xml:space="preserve">Risk Catalog</w:t>
      </w:r>
    </w:p>
    <w:p>
      <w:pPr>
        <w:numPr>
          <w:ilvl w:val="0"/>
          <w:numId w:val="1005"/>
        </w:numPr>
      </w:pPr>
      <w:r>
        <w:t xml:space="preserve">Enterprise Risk Management</w:t>
      </w:r>
    </w:p>
    <w:p>
      <w:pPr>
        <w:numPr>
          <w:ilvl w:val="0"/>
          <w:numId w:val="1005"/>
        </w:numPr>
      </w:pPr>
      <w:r>
        <w:t xml:space="preserve">Loss Event Management</w:t>
      </w:r>
    </w:p>
    <w:p>
      <w:pPr>
        <w:numPr>
          <w:ilvl w:val="0"/>
          <w:numId w:val="1005"/>
        </w:numPr>
      </w:pPr>
      <w:r>
        <w:t xml:space="preserve">Key Indicator Management</w:t>
      </w:r>
    </w:p>
    <w:p>
      <w:pPr>
        <w:numPr>
          <w:ilvl w:val="0"/>
          <w:numId w:val="1005"/>
        </w:numPr>
      </w:pPr>
      <w:r>
        <w:t xml:space="preserve">Risk Assessment Management</w:t>
      </w:r>
    </w:p>
    <w:p>
      <w:pPr>
        <w:numPr>
          <w:ilvl w:val="0"/>
          <w:numId w:val="1005"/>
        </w:numPr>
      </w:pPr>
      <w:r>
        <w:t xml:space="preserve">Gerenciamento do risco operacional</w:t>
      </w:r>
    </w:p>
    <w:p>
      <w:pPr>
        <w:pStyle w:val="FirstParagraph"/>
      </w:pPr>
      <w:r>
        <w:t xml:space="preserve">Consulte</w:t>
      </w:r>
      <w:r>
        <w:t xml:space="preserve"> </w:t>
      </w:r>
      <w:hyperlink r:id="rId28">
        <w:r>
          <w:rPr>
            <w:rStyle w:val="Hyperlink"/>
          </w:rPr>
          <w:t xml:space="preserve">Ajuda do Gerenciamento do risco operacional e corporativo</w:t>
        </w:r>
      </w:hyperlink>
      <w:r>
        <w:t xml:space="preserve"> </w:t>
      </w:r>
      <w:r>
        <w:t xml:space="preserve">para obter informações sobre cada solução e caso de uso.</w:t>
      </w:r>
    </w:p>
    <w:bookmarkEnd w:id="29"/>
    <w:bookmarkStart w:id="31" w:name="GerenciamentodeESG"/>
    <w:p>
      <w:pPr>
        <w:pStyle w:val="Heading3"/>
      </w:pPr>
      <w:r>
        <w:t xml:space="preserve">Gerenciamento de ESG</w:t>
      </w:r>
    </w:p>
    <w:p>
      <w:pPr>
        <w:pStyle w:val="FirstParagraph"/>
      </w:pPr>
      <w:r>
        <w:t xml:space="preserve">O Gerenciamento de ESG do Archer pode ajudar sua organização a economizar tempo e recursos facilitando a coleta e o relatório de dados de ESG, reduzindo os riscos relacionados a ESG e alinhando as metas de ESG com sua estratégia geral de negócios.</w:t>
      </w:r>
    </w:p>
    <w:p>
      <w:pPr>
        <w:pStyle w:val="BodyText"/>
      </w:pPr>
      <w:r>
        <w:t xml:space="preserve">O Gerenciamento de ESG inclui os seguintes casos de uso:</w:t>
      </w:r>
    </w:p>
    <w:p>
      <w:pPr>
        <w:numPr>
          <w:ilvl w:val="0"/>
          <w:numId w:val="1006"/>
        </w:numPr>
      </w:pPr>
      <w:r>
        <w:t xml:space="preserve">Gerenciamento de ESG</w:t>
      </w:r>
    </w:p>
    <w:p>
      <w:pPr>
        <w:numPr>
          <w:ilvl w:val="0"/>
          <w:numId w:val="1006"/>
        </w:numPr>
      </w:pPr>
      <w:r>
        <w:t xml:space="preserve">Calculadora de dupla materialidade</w:t>
      </w:r>
    </w:p>
    <w:p>
      <w:pPr>
        <w:numPr>
          <w:ilvl w:val="0"/>
          <w:numId w:val="1006"/>
        </w:numPr>
      </w:pPr>
      <w:r>
        <w:t xml:space="preserve">Gerenciamento de divulgação</w:t>
      </w:r>
    </w:p>
    <w:p>
      <w:pPr>
        <w:numPr>
          <w:ilvl w:val="0"/>
          <w:numId w:val="1006"/>
        </w:numPr>
      </w:pPr>
      <w:r>
        <w:t xml:space="preserve">Gerenciamento do portfólio de ESG</w:t>
      </w:r>
    </w:p>
    <w:p>
      <w:pPr>
        <w:pStyle w:val="FirstParagraph"/>
      </w:pPr>
      <w:r>
        <w:t xml:space="preserve">Consulte</w:t>
      </w:r>
      <w:r>
        <w:t xml:space="preserve"> </w:t>
      </w:r>
      <w:hyperlink r:id="rId30">
        <w:r>
          <w:rPr>
            <w:rStyle w:val="Hyperlink"/>
          </w:rPr>
          <w:t xml:space="preserve">Ajuda do Gerenciamento de ESG</w:t>
        </w:r>
      </w:hyperlink>
      <w:r>
        <w:t xml:space="preserve"> </w:t>
      </w:r>
      <w:r>
        <w:t xml:space="preserve">para obter informações sobre cada solução e caso de uso.</w:t>
      </w:r>
    </w:p>
    <w:bookmarkEnd w:id="31"/>
    <w:bookmarkStart w:id="33" w:name="GerenciamentoderiscosdeTIesegurança"/>
    <w:p>
      <w:pPr>
        <w:pStyle w:val="Heading3"/>
      </w:pPr>
      <w:r>
        <w:t xml:space="preserve">Gerenciamento de riscos de TI e segurança</w:t>
      </w:r>
    </w:p>
    <w:p>
      <w:pPr>
        <w:pStyle w:val="FirstParagraph"/>
      </w:pPr>
      <w:r>
        <w:t xml:space="preserve">O Gerenciamento de riscos de TI e segurança do</w:t>
      </w:r>
      <w:r>
        <w:t xml:space="preserve"> </w:t>
      </w:r>
      <w:r>
        <w:t xml:space="preserve">Archer</w:t>
      </w:r>
      <w:r>
        <w:t xml:space="preserve"> </w:t>
      </w:r>
      <w:r>
        <w:t xml:space="preserve">permite determinar quais ativos são críticos para os seus negócios, estabelecer e comunicar políticas e padrões de segurança, detectar e responder a ataques, identificar e corrigir deficiências de segurança, além de estabelecer práticas recomendadas claras para o gerenciamento de riscos de TI.</w:t>
      </w:r>
    </w:p>
    <w:p>
      <w:pPr>
        <w:pStyle w:val="BodyText"/>
      </w:pPr>
      <w:r>
        <w:t xml:space="preserve">O Gerenciamento de riscos de segurança e TI inclui os seguintes casos de uso:</w:t>
      </w:r>
    </w:p>
    <w:p>
      <w:pPr>
        <w:numPr>
          <w:ilvl w:val="0"/>
          <w:numId w:val="1007"/>
        </w:numPr>
      </w:pPr>
      <w:r>
        <w:t xml:space="preserve">Gerenciamento do programa de políticas de TI e segurança</w:t>
      </w:r>
    </w:p>
    <w:p>
      <w:pPr>
        <w:numPr>
          <w:ilvl w:val="0"/>
          <w:numId w:val="1007"/>
        </w:numPr>
      </w:pPr>
      <w:r>
        <w:t xml:space="preserve">Garantia de controles de TI</w:t>
      </w:r>
    </w:p>
    <w:p>
      <w:pPr>
        <w:numPr>
          <w:ilvl w:val="0"/>
          <w:numId w:val="1007"/>
        </w:numPr>
      </w:pPr>
      <w:r>
        <w:t xml:space="preserve">Programa de vulnerabilidades de segurança de TI</w:t>
      </w:r>
    </w:p>
    <w:p>
      <w:pPr>
        <w:numPr>
          <w:ilvl w:val="0"/>
          <w:numId w:val="1007"/>
        </w:numPr>
      </w:pPr>
      <w:r>
        <w:t xml:space="preserve">Cyber Incident &amp; Breach Response</w:t>
      </w:r>
    </w:p>
    <w:p>
      <w:pPr>
        <w:numPr>
          <w:ilvl w:val="0"/>
          <w:numId w:val="1007"/>
        </w:numPr>
      </w:pPr>
      <w:r>
        <w:t xml:space="preserve">Gerenciamento de riscos de TI</w:t>
      </w:r>
    </w:p>
    <w:p>
      <w:pPr>
        <w:numPr>
          <w:ilvl w:val="0"/>
          <w:numId w:val="1007"/>
        </w:numPr>
      </w:pPr>
      <w:r>
        <w:t xml:space="preserve">Gerenciamento regulamentar de TI</w:t>
      </w:r>
    </w:p>
    <w:p>
      <w:pPr>
        <w:numPr>
          <w:ilvl w:val="0"/>
          <w:numId w:val="1007"/>
        </w:numPr>
      </w:pPr>
      <w:r>
        <w:t xml:space="preserve">ISMS (Information Security Management System, sistema de gerenciamento da segurança das informações)</w:t>
      </w:r>
    </w:p>
    <w:p>
      <w:pPr>
        <w:numPr>
          <w:ilvl w:val="0"/>
          <w:numId w:val="1007"/>
        </w:numPr>
      </w:pPr>
      <w:r>
        <w:t xml:space="preserve">Gerenciamento de PCI</w:t>
      </w:r>
    </w:p>
    <w:p>
      <w:pPr>
        <w:pStyle w:val="FirstParagraph"/>
      </w:pPr>
      <w:r>
        <w:t xml:space="preserve">Consulte</w:t>
      </w:r>
      <w:r>
        <w:t xml:space="preserve"> </w:t>
      </w:r>
      <w:hyperlink r:id="rId32">
        <w:r>
          <w:rPr>
            <w:rStyle w:val="Hyperlink"/>
          </w:rPr>
          <w:t xml:space="preserve">Ajuda do Gerenciamento de riscos de TI e segurança</w:t>
        </w:r>
      </w:hyperlink>
      <w:r>
        <w:t xml:space="preserve"> </w:t>
      </w:r>
      <w:r>
        <w:t xml:space="preserve">para obter informações sobre cada solução e caso de uso.</w:t>
      </w:r>
    </w:p>
    <w:bookmarkEnd w:id="33"/>
    <w:bookmarkStart w:id="35" w:name="Setorpúblico"/>
    <w:p>
      <w:pPr>
        <w:pStyle w:val="Heading3"/>
      </w:pPr>
      <w:r>
        <w:t xml:space="preserve">Setor público</w:t>
      </w:r>
    </w:p>
    <w:p>
      <w:pPr>
        <w:pStyle w:val="FirstParagraph"/>
      </w:pPr>
      <w:r>
        <w:t xml:space="preserve">O</w:t>
      </w:r>
      <w:r>
        <w:t xml:space="preserve"> </w:t>
      </w:r>
      <w:r>
        <w:t xml:space="preserve">Archer</w:t>
      </w:r>
      <w:r>
        <w:t xml:space="preserve"> </w:t>
      </w:r>
      <w:r>
        <w:t xml:space="preserve">para o setor público permite aproveitar pessoas, processos e tecnologias para criar uma abordagem integrada para Avaliação e autorização, Monitoramento contínuo e gerenciamento global de riscos.</w:t>
      </w:r>
    </w:p>
    <w:p>
      <w:pPr>
        <w:pStyle w:val="BodyText"/>
      </w:pPr>
      <w:r>
        <w:t xml:space="preserve">O setor público inclui os seguintes casos de uso da solução:</w:t>
      </w:r>
    </w:p>
    <w:p>
      <w:pPr>
        <w:numPr>
          <w:ilvl w:val="0"/>
          <w:numId w:val="1008"/>
        </w:numPr>
      </w:pPr>
      <w:r>
        <w:t xml:space="preserve">Plano de ação e marcos (POA&amp;M)</w:t>
      </w:r>
    </w:p>
    <w:p>
      <w:pPr>
        <w:numPr>
          <w:ilvl w:val="0"/>
          <w:numId w:val="1008"/>
        </w:numPr>
      </w:pPr>
      <w:r>
        <w:t xml:space="preserve">Avaliação e autorização</w:t>
      </w:r>
    </w:p>
    <w:p>
      <w:pPr>
        <w:numPr>
          <w:ilvl w:val="0"/>
          <w:numId w:val="1008"/>
        </w:numPr>
      </w:pPr>
      <w:r>
        <w:t xml:space="preserve">Monitoramento contínuo</w:t>
      </w:r>
    </w:p>
    <w:p>
      <w:pPr>
        <w:pStyle w:val="FirstParagraph"/>
      </w:pPr>
      <w:r>
        <w:t xml:space="preserve">Consulte</w:t>
      </w:r>
      <w:r>
        <w:t xml:space="preserve"> </w:t>
      </w:r>
      <w:hyperlink r:id="rId34">
        <w:r>
          <w:rPr>
            <w:rStyle w:val="Hyperlink"/>
          </w:rPr>
          <w:t xml:space="preserve">Ajuda do setor público</w:t>
        </w:r>
      </w:hyperlink>
      <w:r>
        <w:t xml:space="preserve"> </w:t>
      </w:r>
      <w:r>
        <w:t xml:space="preserve">para obter informações sobre cada caso de uso da solução.</w:t>
      </w:r>
    </w:p>
    <w:bookmarkEnd w:id="35"/>
    <w:bookmarkStart w:id="37" w:name="X1074288afddcf2884cb9549c23393cef6df6d40"/>
    <w:p>
      <w:pPr>
        <w:pStyle w:val="Heading3"/>
      </w:pPr>
      <w:r>
        <w:t xml:space="preserve">Gerenciamento de conformidade regulamentar e corporativa</w:t>
      </w:r>
    </w:p>
    <w:p>
      <w:pPr>
        <w:pStyle w:val="FirstParagraph"/>
      </w:pPr>
      <w:r>
        <w:t xml:space="preserve">O</w:t>
      </w:r>
      <w:r>
        <w:t xml:space="preserve"> </w:t>
      </w:r>
      <w:r>
        <w:t xml:space="preserve">Archer</w:t>
      </w:r>
      <w:r>
        <w:t xml:space="preserve"> </w:t>
      </w:r>
      <w:r>
        <w:t xml:space="preserve">Regulatory &amp; Corporate Compliance Management permite a você consolidar as informações de diversos órgãos normativos, documentar seu impacto nos negócios e estabelecer um programa de conformidade regulamentar sustentável, reproduzível e auditável.</w:t>
      </w:r>
    </w:p>
    <w:p>
      <w:pPr>
        <w:pStyle w:val="BodyText"/>
      </w:pPr>
      <w:r>
        <w:t xml:space="preserve">A conformidade regulamentar e corporativa inclui os seguintes casos de uso:</w:t>
      </w:r>
    </w:p>
    <w:p>
      <w:pPr>
        <w:numPr>
          <w:ilvl w:val="0"/>
          <w:numId w:val="1009"/>
        </w:numPr>
      </w:pPr>
      <w:r>
        <w:t xml:space="preserve">Gerenciamento do programa de políticas</w:t>
      </w:r>
    </w:p>
    <w:p>
      <w:pPr>
        <w:numPr>
          <w:ilvl w:val="0"/>
          <w:numId w:val="1009"/>
        </w:numPr>
      </w:pPr>
      <w:r>
        <w:t xml:space="preserve">Gerenciamento de obrigações corporativas</w:t>
      </w:r>
    </w:p>
    <w:p>
      <w:pPr>
        <w:numPr>
          <w:ilvl w:val="0"/>
          <w:numId w:val="1009"/>
        </w:numPr>
      </w:pPr>
      <w:r>
        <w:t xml:space="preserve">Gerenciamento do programa de garantia de controles</w:t>
      </w:r>
    </w:p>
    <w:p>
      <w:pPr>
        <w:numPr>
          <w:ilvl w:val="0"/>
          <w:numId w:val="1009"/>
        </w:numPr>
      </w:pPr>
      <w:r>
        <w:t xml:space="preserve">Monitoramento de controles financeiros</w:t>
      </w:r>
    </w:p>
    <w:p>
      <w:pPr>
        <w:numPr>
          <w:ilvl w:val="0"/>
          <w:numId w:val="1009"/>
        </w:numPr>
      </w:pPr>
      <w:r>
        <w:t xml:space="preserve">Governança dos dados</w:t>
      </w:r>
    </w:p>
    <w:p>
      <w:pPr>
        <w:numPr>
          <w:ilvl w:val="0"/>
          <w:numId w:val="1009"/>
        </w:numPr>
      </w:pPr>
      <w:r>
        <w:t xml:space="preserve">Gerenciamento do programa de privacidade</w:t>
      </w:r>
    </w:p>
    <w:p>
      <w:pPr>
        <w:pStyle w:val="FirstParagraph"/>
      </w:pPr>
      <w:r>
        <w:t xml:space="preserve">Consulte</w:t>
      </w:r>
      <w:r>
        <w:t xml:space="preserve"> </w:t>
      </w:r>
      <w:hyperlink r:id="rId36">
        <w:r>
          <w:rPr>
            <w:rStyle w:val="Hyperlink"/>
          </w:rPr>
          <w:t xml:space="preserve">Ajuda do Gerenciamento de conformidade regulamentar e corporativa</w:t>
        </w:r>
      </w:hyperlink>
      <w:r>
        <w:t xml:space="preserve"> </w:t>
      </w:r>
      <w:r>
        <w:t xml:space="preserve">para obter informações sobre cada caso de uso da solução.</w:t>
      </w:r>
    </w:p>
    <w:bookmarkEnd w:id="37"/>
    <w:bookmarkStart w:id="39" w:name="Gerenciamentoderesiliência"/>
    <w:p>
      <w:pPr>
        <w:pStyle w:val="Heading3"/>
      </w:pPr>
      <w:r>
        <w:t xml:space="preserve">Gerenciamento de resiliência</w:t>
      </w:r>
    </w:p>
    <w:p>
      <w:pPr>
        <w:pStyle w:val="FirstParagraph"/>
      </w:pPr>
      <w:r>
        <w:t xml:space="preserve">Archer</w:t>
      </w:r>
      <w:r>
        <w:t xml:space="preserve"> </w:t>
      </w:r>
      <w:r>
        <w:t xml:space="preserve">O Gerenciamento de Resiliência fornece uma abordagem automatizada para continuidade de negócios, planejamento e execução de recuperação de desastres e resiliência operacional. Essa área de solução permite que as organizações priorizem suas operações mais críticas para resiliência e respondam rapidamente a situações de crise.</w:t>
      </w:r>
    </w:p>
    <w:p>
      <w:pPr>
        <w:pStyle w:val="BodyText"/>
      </w:pPr>
      <w:r>
        <w:t xml:space="preserve">O gerenciamento de resiliência inclui os seguintes casos de uso:</w:t>
      </w:r>
    </w:p>
    <w:p>
      <w:pPr>
        <w:numPr>
          <w:ilvl w:val="0"/>
          <w:numId w:val="1010"/>
        </w:numPr>
      </w:pPr>
      <w:r>
        <w:t xml:space="preserve">Análise de impacto de negócio</w:t>
      </w:r>
    </w:p>
    <w:p>
      <w:pPr>
        <w:numPr>
          <w:ilvl w:val="0"/>
          <w:numId w:val="1010"/>
        </w:numPr>
      </w:pPr>
      <w:r>
        <w:t xml:space="preserve">Gerenciamento de incidentes</w:t>
      </w:r>
    </w:p>
    <w:p>
      <w:pPr>
        <w:numPr>
          <w:ilvl w:val="0"/>
          <w:numId w:val="1010"/>
        </w:numPr>
      </w:pPr>
      <w:r>
        <w:t xml:space="preserve">Business Continuity &amp; IT Disaster Recovery Planning</w:t>
      </w:r>
    </w:p>
    <w:p>
      <w:pPr>
        <w:numPr>
          <w:ilvl w:val="0"/>
          <w:numId w:val="1010"/>
        </w:numPr>
      </w:pPr>
      <w:r>
        <w:t xml:space="preserve">Gerenciamento de crises</w:t>
      </w:r>
    </w:p>
    <w:p>
      <w:pPr>
        <w:numPr>
          <w:ilvl w:val="0"/>
          <w:numId w:val="1010"/>
        </w:numPr>
      </w:pPr>
      <w:r>
        <w:t xml:space="preserve">Análise do cenário operacional</w:t>
      </w:r>
    </w:p>
    <w:p>
      <w:pPr>
        <w:pStyle w:val="FirstParagraph"/>
      </w:pPr>
      <w:r>
        <w:t xml:space="preserve">Consulte</w:t>
      </w:r>
      <w:r>
        <w:t xml:space="preserve"> </w:t>
      </w:r>
      <w:hyperlink r:id="rId38">
        <w:r>
          <w:rPr>
            <w:rStyle w:val="Hyperlink"/>
          </w:rPr>
          <w:t xml:space="preserve">Ajuda do Gerenciamento de Resiliência</w:t>
        </w:r>
      </w:hyperlink>
      <w:r>
        <w:t xml:space="preserve"> </w:t>
      </w:r>
      <w:r>
        <w:t xml:space="preserve">para obter informações sobre cada solução e caso de uso.</w:t>
      </w:r>
    </w:p>
    <w:bookmarkEnd w:id="39"/>
    <w:bookmarkStart w:id="41" w:name="Gerenciamentoderiscosdeterceiros"/>
    <w:p>
      <w:pPr>
        <w:pStyle w:val="Heading3"/>
      </w:pPr>
      <w:r>
        <w:t xml:space="preserve">Gerenciamento de riscos de terceiros</w:t>
      </w:r>
    </w:p>
    <w:p>
      <w:pPr>
        <w:pStyle w:val="FirstParagraph"/>
      </w:pPr>
      <w:r>
        <w:t xml:space="preserve">O Gerenciamento de riscos de terceiros do</w:t>
      </w:r>
      <w:r>
        <w:t xml:space="preserve"> </w:t>
      </w:r>
      <w:r>
        <w:t xml:space="preserve">Archer</w:t>
      </w:r>
      <w:r>
        <w:t xml:space="preserve"> </w:t>
      </w:r>
      <w:r>
        <w:t xml:space="preserve">automatiza e simplifica a supervisão de suas relações com fornecedores ao facilitar atividades chave necessárias para o cumprimento das obrigações normativas e das práticas recomendadas em todo o ciclo de vida do gerenciamento de terceiros.</w:t>
      </w:r>
    </w:p>
    <w:p>
      <w:pPr>
        <w:pStyle w:val="BodyText"/>
      </w:pPr>
      <w:r>
        <w:t xml:space="preserve">O Gerenciamento de riscos de terceiros inclui os seguintes casos de uso:</w:t>
      </w:r>
    </w:p>
    <w:p>
      <w:pPr>
        <w:numPr>
          <w:ilvl w:val="0"/>
          <w:numId w:val="1011"/>
        </w:numPr>
      </w:pPr>
      <w:r>
        <w:t xml:space="preserve">Catálogo de Terceiros</w:t>
      </w:r>
    </w:p>
    <w:p>
      <w:pPr>
        <w:numPr>
          <w:ilvl w:val="0"/>
          <w:numId w:val="1011"/>
        </w:numPr>
      </w:pPr>
      <w:r>
        <w:t xml:space="preserve">Gerenciamento de riscos de terceiros</w:t>
      </w:r>
    </w:p>
    <w:p>
      <w:pPr>
        <w:numPr>
          <w:ilvl w:val="0"/>
          <w:numId w:val="1011"/>
        </w:numPr>
      </w:pPr>
      <w:r>
        <w:t xml:space="preserve">Projeto de terceiros</w:t>
      </w:r>
    </w:p>
    <w:p>
      <w:pPr>
        <w:numPr>
          <w:ilvl w:val="0"/>
          <w:numId w:val="1011"/>
        </w:numPr>
      </w:pPr>
      <w:r>
        <w:t xml:space="preserve">Governança de Terceiros</w:t>
      </w:r>
    </w:p>
    <w:p>
      <w:pPr>
        <w:pStyle w:val="FirstParagraph"/>
      </w:pPr>
      <w:r>
        <w:t xml:space="preserve">Consulte</w:t>
      </w:r>
      <w:r>
        <w:t xml:space="preserve"> </w:t>
      </w:r>
      <w:hyperlink r:id="rId40">
        <w:r>
          <w:rPr>
            <w:rStyle w:val="Hyperlink"/>
          </w:rPr>
          <w:t xml:space="preserve">Gerenciamento de riscos de terceiros</w:t>
        </w:r>
      </w:hyperlink>
      <w:r>
        <w:t xml:space="preserve"> </w:t>
      </w:r>
      <w:r>
        <w:t xml:space="preserve">para obter informações sobre cada caso de uso da solução.</w:t>
      </w:r>
    </w:p>
    <w:bookmarkEnd w:id="41"/>
    <w:bookmarkStart w:id="42" w:name="Dicionáriosdedados"/>
    <w:p>
      <w:pPr>
        <w:pStyle w:val="Heading3"/>
      </w:pPr>
      <w:r>
        <w:t xml:space="preserve">Dicionários de dados</w:t>
      </w:r>
    </w:p>
    <w:p>
      <w:pPr>
        <w:pStyle w:val="FirstParagraph"/>
      </w:pPr>
      <w:r>
        <w:t xml:space="preserve">Cada caso de uso da solução do Archer tem um dicionário de dados que dá uma visão detalhada sobre os aplicativos e questionários inclusos em cada caso de uso. Obtenha o Dicionário de dados do caso de uso entrando em contato com o representante de contas da</w:t>
      </w:r>
      <w:r>
        <w:t xml:space="preserve"> </w:t>
      </w:r>
      <w:r>
        <w:t xml:space="preserve">Archer</w:t>
      </w:r>
      <w:r>
        <w:t xml:space="preserve">.</w:t>
      </w:r>
    </w:p>
    <w:bookmarkEnd w:id="42"/>
    <w:bookmarkEnd w:id="43"/>
    <w:bookmarkStart w:id="67" w:name="X395d39d891d0c25a1e0b1c829908ab0b52090ed"/>
    <w:p>
      <w:pPr>
        <w:pStyle w:val="Heading2"/>
      </w:pPr>
      <w:r>
        <w:t xml:space="preserve">Preciso de ajuda para usar um aplicativo ou questionário específico</w:t>
      </w:r>
    </w:p>
    <w:p>
      <w:pPr>
        <w:pStyle w:val="FirstParagraph"/>
      </w:pPr>
      <w:r>
        <w:t xml:space="preserve">O</w:t>
      </w:r>
      <w:r>
        <w:t xml:space="preserve"> </w:t>
      </w:r>
      <w:hyperlink r:id="rId44">
        <w:r>
          <w:rPr>
            <w:rStyle w:val="Hyperlink"/>
          </w:rPr>
          <w:t xml:space="preserve">Centro de Atendimento Archer</w:t>
        </w:r>
      </w:hyperlink>
      <w:r>
        <w:t xml:space="preserve"> </w:t>
      </w:r>
      <w:r>
        <w:t xml:space="preserve">contém ajuda para cada caso de uso da solução do Archer. Com base no aplicativo ou questionário em que você está trabalhando, use a tabela abaixo para encontrar ajuda relevante.</w:t>
      </w:r>
    </w:p>
    <w:p>
      <w:pPr>
        <w:pStyle w:val="BodyText"/>
      </w:pPr>
      <w:r>
        <w:rPr>
          <w:b/>
          <w:bCs/>
        </w:rPr>
        <w:t xml:space="preserve">Observação:</w:t>
      </w:r>
      <w:r>
        <w:t xml:space="preserve"> </w:t>
      </w:r>
      <w:r>
        <w:t xml:space="preserve">Pergunte ao seu administrador se não tiver certeza de qual versão de um caso de uso você está usando.</w:t>
      </w:r>
    </w:p>
    <w:p>
      <w:pPr>
        <w:pStyle w:val="BodyText"/>
      </w:pPr>
      <w:r>
        <w:t xml:space="preserve">Pule para:</w:t>
      </w:r>
      <w:r>
        <w:t xml:space="preserve"> </w:t>
      </w:r>
      <w:hyperlink w:anchor="A">
        <w:r>
          <w:rPr>
            <w:rStyle w:val="Hyperlink"/>
          </w:rPr>
          <w:t xml:space="preserve">A</w:t>
        </w:r>
      </w:hyperlink>
      <w:r>
        <w:t xml:space="preserve"> </w:t>
      </w:r>
      <w:hyperlink w:anchor="B">
        <w:r>
          <w:rPr>
            <w:rStyle w:val="Hyperlink"/>
          </w:rPr>
          <w:t xml:space="preserve">B</w:t>
        </w:r>
      </w:hyperlink>
      <w:r>
        <w:t xml:space="preserve"> </w:t>
      </w:r>
      <w:hyperlink w:anchor="C">
        <w:r>
          <w:rPr>
            <w:rStyle w:val="Hyperlink"/>
          </w:rPr>
          <w:t xml:space="preserve">C</w:t>
        </w:r>
      </w:hyperlink>
      <w:r>
        <w:t xml:space="preserve"> </w:t>
      </w:r>
      <w:hyperlink w:anchor="D">
        <w:r>
          <w:rPr>
            <w:rStyle w:val="Hyperlink"/>
          </w:rPr>
          <w:t xml:space="preserve">D</w:t>
        </w:r>
      </w:hyperlink>
      <w:r>
        <w:t xml:space="preserve"> </w:t>
      </w:r>
      <w:hyperlink w:anchor="E">
        <w:r>
          <w:rPr>
            <w:rStyle w:val="Hyperlink"/>
          </w:rPr>
          <w:t xml:space="preserve">E</w:t>
        </w:r>
      </w:hyperlink>
      <w:r>
        <w:t xml:space="preserve"> </w:t>
      </w:r>
      <w:hyperlink w:anchor="F">
        <w:r>
          <w:rPr>
            <w:rStyle w:val="Hyperlink"/>
          </w:rPr>
          <w:t xml:space="preserve">F</w:t>
        </w:r>
      </w:hyperlink>
      <w:r>
        <w:t xml:space="preserve"> </w:t>
      </w:r>
      <w:hyperlink w:anchor="G">
        <w:r>
          <w:rPr>
            <w:rStyle w:val="Hyperlink"/>
          </w:rPr>
          <w:t xml:space="preserve">G</w:t>
        </w:r>
      </w:hyperlink>
      <w:r>
        <w:t xml:space="preserve"> </w:t>
      </w:r>
      <w:hyperlink w:anchor="H">
        <w:r>
          <w:rPr>
            <w:rStyle w:val="Hyperlink"/>
          </w:rPr>
          <w:t xml:space="preserve">H</w:t>
        </w:r>
      </w:hyperlink>
      <w:r>
        <w:t xml:space="preserve"> </w:t>
      </w:r>
      <w:hyperlink w:anchor="I">
        <w:r>
          <w:rPr>
            <w:rStyle w:val="Hyperlink"/>
          </w:rPr>
          <w:t xml:space="preserve">I</w:t>
        </w:r>
      </w:hyperlink>
      <w:r>
        <w:t xml:space="preserve"> </w:t>
      </w:r>
      <w:r>
        <w:t xml:space="preserve">J K</w:t>
      </w:r>
      <w:r>
        <w:t xml:space="preserve"> </w:t>
      </w:r>
      <w:hyperlink w:anchor="L">
        <w:r>
          <w:rPr>
            <w:rStyle w:val="Hyperlink"/>
          </w:rPr>
          <w:t xml:space="preserve">L</w:t>
        </w:r>
      </w:hyperlink>
      <w:r>
        <w:t xml:space="preserve"> </w:t>
      </w:r>
      <w:hyperlink w:anchor="M">
        <w:r>
          <w:rPr>
            <w:rStyle w:val="Hyperlink"/>
          </w:rPr>
          <w:t xml:space="preserve">M</w:t>
        </w:r>
      </w:hyperlink>
      <w:r>
        <w:t xml:space="preserve"> </w:t>
      </w:r>
      <w:hyperlink w:anchor="N">
        <w:r>
          <w:rPr>
            <w:rStyle w:val="Hyperlink"/>
          </w:rPr>
          <w:t xml:space="preserve">N</w:t>
        </w:r>
      </w:hyperlink>
      <w:r>
        <w:t xml:space="preserve"> </w:t>
      </w:r>
      <w:hyperlink w:anchor="O">
        <w:r>
          <w:rPr>
            <w:rStyle w:val="Hyperlink"/>
          </w:rPr>
          <w:t xml:space="preserve">O</w:t>
        </w:r>
      </w:hyperlink>
      <w:r>
        <w:t xml:space="preserve"> </w:t>
      </w:r>
      <w:hyperlink w:anchor="P">
        <w:r>
          <w:rPr>
            <w:rStyle w:val="Hyperlink"/>
          </w:rPr>
          <w:t xml:space="preserve">P</w:t>
        </w:r>
      </w:hyperlink>
      <w:r>
        <w:t xml:space="preserve"> </w:t>
      </w:r>
      <w:hyperlink w:anchor="Q">
        <w:r>
          <w:rPr>
            <w:rStyle w:val="Hyperlink"/>
          </w:rPr>
          <w:t xml:space="preserve">Q</w:t>
        </w:r>
      </w:hyperlink>
      <w:r>
        <w:t xml:space="preserve"> </w:t>
      </w:r>
      <w:hyperlink w:anchor="R">
        <w:r>
          <w:rPr>
            <w:rStyle w:val="Hyperlink"/>
          </w:rPr>
          <w:t xml:space="preserve">R</w:t>
        </w:r>
      </w:hyperlink>
      <w:r>
        <w:t xml:space="preserve"> </w:t>
      </w:r>
      <w:hyperlink w:anchor="S">
        <w:r>
          <w:rPr>
            <w:rStyle w:val="Hyperlink"/>
          </w:rPr>
          <w:t xml:space="preserve">S</w:t>
        </w:r>
      </w:hyperlink>
      <w:r>
        <w:t xml:space="preserve"> </w:t>
      </w:r>
      <w:hyperlink w:anchor="T">
        <w:r>
          <w:rPr>
            <w:rStyle w:val="Hyperlink"/>
          </w:rPr>
          <w:t xml:space="preserve">T</w:t>
        </w:r>
      </w:hyperlink>
      <w:r>
        <w:t xml:space="preserve"> </w:t>
      </w:r>
      <w:hyperlink w:anchor="U">
        <w:r>
          <w:rPr>
            <w:rStyle w:val="Hyperlink"/>
          </w:rPr>
          <w:t xml:space="preserve">U</w:t>
        </w:r>
      </w:hyperlink>
      <w:r>
        <w:t xml:space="preserve"> </w:t>
      </w:r>
      <w:hyperlink w:anchor="V">
        <w:r>
          <w:rPr>
            <w:rStyle w:val="Hyperlink"/>
          </w:rPr>
          <w:t xml:space="preserve">V</w:t>
        </w:r>
      </w:hyperlink>
      <w:r>
        <w:t xml:space="preserve"> </w:t>
      </w:r>
      <w:r>
        <w:t xml:space="preserve">W X Y</w:t>
      </w:r>
      <w:r>
        <w:t xml:space="preserve"> </w:t>
      </w:r>
      <w:hyperlink w:anchor="Z">
        <w:r>
          <w:rPr>
            <w:rStyle w:val="Hyperlink"/>
          </w:rPr>
          <w:t xml:space="preserve">Z</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Aplicativo ou questionário</w:t>
            </w:r>
          </w:p>
        </w:tc>
        <w:tc>
          <w:tcPr/>
          <w:p>
            <w:pPr>
              <w:pStyle w:val="BodyText"/>
            </w:pPr>
            <w:r>
              <w:t xml:space="preserve">Caso de uso</w:t>
            </w:r>
          </w:p>
        </w:tc>
        <w:tc>
          <w:tcPr/>
          <w:p>
            <w:pPr>
              <w:pStyle w:val="BodyText"/>
            </w:pPr>
            <w:r>
              <w:t xml:space="preserve">Link de ajuda</w:t>
            </w:r>
          </w:p>
        </w:tc>
      </w:tr>
      <w:tr>
        <w:tc>
          <w:tcPr/>
          <w:p>
            <w:pPr>
              <w:pStyle w:val="BodyText"/>
            </w:pPr>
            <w:bookmarkStart w:id="45" w:name="A"/>
            <w:bookmarkEnd w:id="45"/>
            <w:r>
              <w:t xml:space="preserve"> </w:t>
            </w:r>
            <w:r>
              <w:t xml:space="preserve">Planos Ativados</w:t>
            </w:r>
          </w:p>
        </w:tc>
        <w:tc>
          <w:tcPr/>
          <w:p>
            <w:pPr>
              <w:pStyle w:val="BodyText"/>
            </w:pPr>
            <w:r>
              <w:t xml:space="preserve">Business Continuity &amp; IT Disaster Recovery Planning</w:t>
            </w:r>
          </w:p>
        </w:tc>
        <w:tc>
          <w:tcPr/>
          <w:p>
            <w:pPr>
              <w:pStyle w:val="BodyText"/>
            </w:pPr>
            <w:hyperlink r:id="rId38"/>
          </w:p>
          <w:p>
            <w:pPr>
              <w:pStyle w:val="BodyText"/>
            </w:pPr>
            <w:hyperlink r:id="rId38">
              <w:r>
                <w:rPr>
                  <w:rStyle w:val="Hyperlink"/>
                </w:rPr>
                <w:t xml:space="preserve">Gerenciamento de resiliência</w:t>
              </w:r>
            </w:hyperlink>
          </w:p>
        </w:tc>
      </w:tr>
      <w:tr>
        <w:tc>
          <w:tcPr/>
          <w:p>
            <w:pPr>
              <w:pStyle w:val="BodyText"/>
            </w:pPr>
            <w:r>
              <w:t xml:space="preserve">Controles alocados</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vMerge w:val="restart"/>
          </w:tcPr>
          <w:p>
            <w:pPr>
              <w:pStyle w:val="BodyText"/>
            </w:pPr>
            <w:r>
              <w:t xml:space="preserve">Agência</w:t>
            </w:r>
          </w:p>
          <w:p>
            <w:pPr>
              <w:pStyle w:val="BodyText"/>
            </w:pPr>
            <w:r>
              <w:t xml:space="preserve"> </w:t>
            </w:r>
          </w:p>
        </w:tc>
        <w:tc>
          <w:tcPr/>
          <w:p>
            <w:pPr>
              <w:pStyle w:val="BodyText"/>
            </w:pPr>
            <w:r>
              <w:t xml:space="preserve">Avaliações e autorização</w:t>
            </w:r>
          </w:p>
        </w:tc>
        <w:tc>
          <w:tcPr>
            <w:gridSpan w:val="1"/>
            <w:vMerge w:val="continue"/>
          </w:tcPr>
          <w:p>
            <w:pP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Controles alocados de IA</w:t>
            </w:r>
          </w:p>
        </w:tc>
        <w:tc>
          <w:tcPr>
            <w:vMerge w:val="restart"/>
          </w:tcPr>
          <w:p>
            <w:pPr>
              <w:pStyle w:val="BodyText"/>
            </w:pPr>
            <w:r>
              <w:t xml:space="preserve">Governança de IA</w:t>
            </w:r>
          </w:p>
        </w:tc>
        <w:tc>
          <w:tcPr>
            <w:vMerge w:val="restart"/>
          </w:tcPr>
          <w:p>
            <w:pPr>
              <w:pStyle w:val="BodyText"/>
            </w:pPr>
            <w:r>
              <w:t xml:space="preserve">Ajuda de Governança de IA</w:t>
            </w:r>
          </w:p>
        </w:tc>
      </w:tr>
      <w:tr>
        <w:tc>
          <w:tcPr/>
          <w:p>
            <w:pPr>
              <w:pStyle w:val="BodyText"/>
            </w:pPr>
            <w:r>
              <w:t xml:space="preserve">Obrigações alocadas de IA</w:t>
            </w:r>
          </w:p>
        </w:tc>
        <w:tc>
          <w:tcPr>
            <w:gridSpan w:val="1"/>
            <w:vMerge w:val="continue"/>
          </w:tcPr>
          <w:p>
            <w:pPr/>
          </w:p>
        </w:tc>
        <w:tc>
          <w:tcPr>
            <w:gridSpan w:val="1"/>
            <w:vMerge w:val="continue"/>
          </w:tcPr>
          <w:p>
            <w:pPr/>
          </w:p>
        </w:tc>
      </w:tr>
      <w:tr>
        <w:tc>
          <w:tcPr/>
          <w:p>
            <w:pPr>
              <w:pStyle w:val="BodyText"/>
            </w:pPr>
            <w:r>
              <w:t xml:space="preserve">Catálogo de Avaliação de Conformidade de IA</w:t>
            </w:r>
          </w:p>
        </w:tc>
        <w:tc>
          <w:tcPr>
            <w:gridSpan w:val="1"/>
            <w:vMerge w:val="continue"/>
          </w:tcPr>
          <w:p>
            <w:pPr/>
          </w:p>
        </w:tc>
        <w:tc>
          <w:tcPr>
            <w:gridSpan w:val="1"/>
            <w:vMerge w:val="continue"/>
          </w:tcPr>
          <w:p>
            <w:pPr/>
          </w:p>
        </w:tc>
      </w:tr>
      <w:tr>
        <w:tc>
          <w:tcPr/>
          <w:p>
            <w:pPr>
              <w:pStyle w:val="BodyText"/>
            </w:pPr>
            <w:r>
              <w:t xml:space="preserve">Biblioteca de perguntas de avaliações de conformidade de IA</w:t>
            </w:r>
          </w:p>
        </w:tc>
        <w:tc>
          <w:tcPr>
            <w:gridSpan w:val="1"/>
            <w:vMerge w:val="continue"/>
          </w:tcPr>
          <w:p>
            <w:pPr/>
          </w:p>
        </w:tc>
        <w:tc>
          <w:tcPr>
            <w:gridSpan w:val="1"/>
            <w:vMerge w:val="continue"/>
          </w:tcPr>
          <w:p>
            <w:pPr/>
          </w:p>
        </w:tc>
      </w:tr>
      <w:tr>
        <w:tc>
          <w:tcPr/>
          <w:p>
            <w:pPr>
              <w:pStyle w:val="BodyText"/>
            </w:pPr>
            <w:r>
              <w:t xml:space="preserve">Perguntas de avaliações de conformidade de IA</w:t>
            </w:r>
          </w:p>
        </w:tc>
        <w:tc>
          <w:tcPr>
            <w:gridSpan w:val="1"/>
            <w:vMerge w:val="continue"/>
          </w:tcPr>
          <w:p>
            <w:pPr/>
          </w:p>
        </w:tc>
        <w:tc>
          <w:tcPr>
            <w:gridSpan w:val="1"/>
            <w:vMerge w:val="continue"/>
          </w:tcPr>
          <w:p>
            <w:pPr/>
          </w:p>
        </w:tc>
      </w:tr>
      <w:tr>
        <w:tc>
          <w:tcPr/>
          <w:p>
            <w:pPr>
              <w:pStyle w:val="BodyText"/>
            </w:pPr>
            <w:r>
              <w:t xml:space="preserve">Biblioteca de controles de IA</w:t>
            </w:r>
          </w:p>
        </w:tc>
        <w:tc>
          <w:tcPr>
            <w:gridSpan w:val="1"/>
            <w:vMerge w:val="continue"/>
          </w:tcPr>
          <w:p>
            <w:pPr/>
          </w:p>
        </w:tc>
        <w:tc>
          <w:tcPr>
            <w:gridSpan w:val="1"/>
            <w:vMerge w:val="continue"/>
          </w:tcPr>
          <w:p>
            <w:pPr/>
          </w:p>
        </w:tc>
      </w:tr>
      <w:tr>
        <w:tc>
          <w:tcPr/>
          <w:p>
            <w:pPr>
              <w:pStyle w:val="BodyText"/>
            </w:pPr>
            <w:r>
              <w:t xml:space="preserve">Catálogo de Obrigações de IA</w:t>
            </w:r>
          </w:p>
        </w:tc>
        <w:tc>
          <w:tcPr>
            <w:gridSpan w:val="1"/>
            <w:vMerge w:val="continue"/>
          </w:tcPr>
          <w:p>
            <w:pPr/>
          </w:p>
        </w:tc>
        <w:tc>
          <w:tcPr>
            <w:gridSpan w:val="1"/>
            <w:vMerge w:val="continue"/>
          </w:tcPr>
          <w:p>
            <w:pPr/>
          </w:p>
        </w:tc>
      </w:tr>
      <w:tr>
        <w:tc>
          <w:tcPr/>
          <w:p>
            <w:pPr>
              <w:pStyle w:val="BodyText"/>
            </w:pPr>
            <w:r>
              <w:t xml:space="preserve">Privacidade e Impacto Ético da IA</w:t>
            </w:r>
          </w:p>
        </w:tc>
        <w:tc>
          <w:tcPr>
            <w:gridSpan w:val="1"/>
            <w:vMerge w:val="continue"/>
          </w:tcPr>
          <w:p>
            <w:pPr/>
          </w:p>
        </w:tc>
        <w:tc>
          <w:tcPr>
            <w:gridSpan w:val="1"/>
            <w:vMerge w:val="continue"/>
          </w:tcPr>
          <w:p>
            <w:pPr/>
          </w:p>
        </w:tc>
      </w:tr>
      <w:tr>
        <w:tc>
          <w:tcPr/>
          <w:p>
            <w:pPr>
              <w:pStyle w:val="BodyText"/>
            </w:pPr>
            <w:r>
              <w:t xml:space="preserve">Projeto de IA</w:t>
            </w:r>
          </w:p>
        </w:tc>
        <w:tc>
          <w:tcPr>
            <w:gridSpan w:val="1"/>
            <w:vMerge w:val="continue"/>
          </w:tcPr>
          <w:p>
            <w:pPr/>
          </w:p>
        </w:tc>
        <w:tc>
          <w:tcPr>
            <w:gridSpan w:val="1"/>
            <w:vMerge w:val="continue"/>
          </w:tcPr>
          <w:p>
            <w:pPr/>
          </w:p>
        </w:tc>
      </w:tr>
      <w:tr>
        <w:tc>
          <w:tcPr/>
          <w:p>
            <w:pPr>
              <w:pStyle w:val="BodyText"/>
            </w:pPr>
            <w:r>
              <w:t xml:space="preserve">Avaliação do nível de risco da IA</w:t>
            </w:r>
          </w:p>
        </w:tc>
        <w:tc>
          <w:tcPr>
            <w:gridSpan w:val="1"/>
            <w:vMerge w:val="continue"/>
          </w:tcPr>
          <w:p>
            <w:pPr/>
          </w:p>
        </w:tc>
        <w:tc>
          <w:tcPr>
            <w:gridSpan w:val="1"/>
            <w:vMerge w:val="continue"/>
          </w:tcPr>
          <w:p>
            <w:pPr/>
          </w:p>
        </w:tc>
      </w:tr>
      <w:tr>
        <w:tc>
          <w:tcPr/>
          <w:p>
            <w:pPr>
              <w:pStyle w:val="BodyText"/>
            </w:pPr>
            <w:r>
              <w:t xml:space="preserve">Inventário de casos de uso de IA</w:t>
            </w:r>
          </w:p>
        </w:tc>
        <w:tc>
          <w:tcPr>
            <w:gridSpan w:val="1"/>
            <w:vMerge w:val="continue"/>
          </w:tcPr>
          <w:p>
            <w:pPr/>
          </w:p>
        </w:tc>
        <w:tc>
          <w:tcPr>
            <w:gridSpan w:val="1"/>
            <w:vMerge w:val="continue"/>
          </w:tcPr>
          <w:p>
            <w:pPr/>
          </w:p>
        </w:tc>
      </w:tr>
      <w:tr>
        <w:tc>
          <w:tcPr/>
          <w:p>
            <w:pPr>
              <w:pStyle w:val="BodyText"/>
            </w:pPr>
            <w:r>
              <w:t xml:space="preserve">Solicitações de casos de uso de IA</w:t>
            </w:r>
          </w:p>
        </w:tc>
        <w:tc>
          <w:tcPr>
            <w:gridSpan w:val="1"/>
            <w:vMerge w:val="continue"/>
          </w:tcPr>
          <w:p>
            <w:pPr/>
          </w:p>
        </w:tc>
        <w:tc>
          <w:tcPr>
            <w:gridSpan w:val="1"/>
            <w:vMerge w:val="continue"/>
          </w:tcPr>
          <w:p>
            <w:pPr/>
          </w:p>
        </w:tc>
      </w:tr>
      <w:tr>
        <w:tc>
          <w:tcPr/>
          <w:p>
            <w:pPr>
              <w:pStyle w:val="BodyText"/>
            </w:pPr>
            <w:r>
              <w:t xml:space="preserve">Avaliação do aplicativo</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Aplicativos</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Compromisso</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p>
            <w:pPr>
              <w:pStyle w:val="BodyText"/>
            </w:pPr>
            <w:r>
              <w:t xml:space="preserve">Lista de verificação do artigo 30</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p>
            <w:pPr>
              <w:pStyle w:val="BodyText"/>
            </w:pPr>
            <w:r>
              <w:t xml:space="preserve">Campanha de avaliação</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Biblioteca de objetivos de avaliação</w:t>
            </w:r>
          </w:p>
        </w:tc>
        <w:tc>
          <w:tcPr>
            <w:vMerge w:val="restart"/>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tc>
      </w:tr>
      <w:tr>
        <w:tc>
          <w:tcPr/>
          <w:p>
            <w:pPr>
              <w:pStyle w:val="BodyText"/>
            </w:pPr>
            <w:r>
              <w:t xml:space="preserve">Objetivos de avaliação</w:t>
            </w:r>
          </w:p>
        </w:tc>
        <w:tc>
          <w:tcPr>
            <w:gridSpan w:val="1"/>
            <w:vMerge w:val="continue"/>
          </w:tcPr>
          <w:p>
            <w:pPr/>
          </w:p>
        </w:tc>
        <w:tc>
          <w:tcPr>
            <w:gridSpan w:val="1"/>
            <w:vMerge w:val="continue"/>
          </w:tcPr>
          <w:p>
            <w:pPr/>
          </w:p>
        </w:tc>
      </w:tr>
      <w:tr>
        <w:tc>
          <w:tcPr>
            <w:vMerge w:val="restart"/>
          </w:tcPr>
          <w:p>
            <w:pPr>
              <w:pStyle w:val="BodyText"/>
            </w:pPr>
            <w:r>
              <w:t xml:space="preserve">Projeto de auditoria</w:t>
            </w:r>
          </w:p>
          <w:p>
            <w:pPr>
              <w:pStyle w:val="BodyText"/>
            </w:pPr>
            <w:r>
              <w:t xml:space="preserve"> </w:t>
            </w:r>
          </w:p>
        </w:tc>
        <w:tc>
          <w:tcPr/>
          <w:p>
            <w:pPr>
              <w:pStyle w:val="BodyText"/>
            </w:pPr>
            <w:r>
              <w:t xml:space="preserve">Projetos e documentação de auditoria</w:t>
            </w:r>
          </w:p>
        </w:tc>
        <w:tc>
          <w:tcPr>
            <w:vMerge w:val="restart"/>
          </w:tcPr>
          <w:p>
            <w:pPr>
              <w:pStyle w:val="Compact"/>
            </w:pPr>
            <w:hyperlink r:id="rId26">
              <w:r>
                <w:rPr>
                  <w:rStyle w:val="Hyperlink"/>
                </w:rPr>
                <w:t xml:space="preserve">Ajuda do Gerenciamento de auditoria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vMerge w:val="restart"/>
          </w:tcPr>
          <w:p>
            <w:pPr>
              <w:pStyle w:val="BodyText"/>
            </w:pPr>
            <w:r>
              <w:t xml:space="preserve">Entidade de auditoria</w:t>
            </w:r>
          </w:p>
          <w:p>
            <w:pPr>
              <w:pStyle w:val="BodyText"/>
            </w:pPr>
            <w:r>
              <w:t xml:space="preserve"> </w:t>
            </w:r>
          </w:p>
        </w:tc>
        <w:tc>
          <w:tcPr/>
          <w:p>
            <w:pPr>
              <w:pStyle w:val="BodyText"/>
            </w:pPr>
            <w:r>
              <w:t xml:space="preserve">Projetos e documentação de auditoria</w:t>
            </w:r>
          </w:p>
        </w:tc>
        <w:tc>
          <w:tcPr>
            <w:gridSpan w:val="1"/>
            <w:vMerge w:val="continue"/>
          </w:tcPr>
          <w:p>
            <w:pP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p>
            <w:pPr>
              <w:pStyle w:val="BodyText"/>
            </w:pPr>
            <w:r>
              <w:t xml:space="preserve">Observações de auditoria</w:t>
            </w:r>
          </w:p>
        </w:tc>
        <w:tc>
          <w:tcPr/>
          <w:p>
            <w:pPr>
              <w:pStyle w:val="BodyText"/>
            </w:pPr>
            <w:r>
              <w:t xml:space="preserve">Projetos e documentação de auditoria</w:t>
            </w:r>
          </w:p>
        </w:tc>
        <w:tc>
          <w:tcPr>
            <w:gridSpan w:val="1"/>
            <w:vMerge w:val="continue"/>
          </w:tcPr>
          <w:p>
            <w:pPr/>
          </w:p>
        </w:tc>
      </w:tr>
      <w:tr>
        <w:tc>
          <w:tcPr/>
          <w:p>
            <w:pPr>
              <w:pStyle w:val="BodyText"/>
            </w:pPr>
            <w:r>
              <w:t xml:space="preserve">Plano de auditoria</w:t>
            </w:r>
          </w:p>
        </w:tc>
        <w:tc>
          <w:tcPr/>
          <w:p>
            <w:pPr>
              <w:pStyle w:val="BodyText"/>
            </w:pPr>
            <w:r>
              <w:t xml:space="preserve">Planejamento e qualidade de auditorias</w:t>
            </w:r>
          </w:p>
        </w:tc>
        <w:tc>
          <w:tcPr>
            <w:gridSpan w:val="1"/>
            <w:vMerge w:val="continue"/>
          </w:tcPr>
          <w:p>
            <w:pPr/>
          </w:p>
        </w:tc>
      </w:tr>
      <w:tr>
        <w:tc>
          <w:tcPr/>
          <w:p>
            <w:pPr>
              <w:pStyle w:val="BodyText"/>
            </w:pPr>
            <w:r>
              <w:t xml:space="preserve">Biblioteca do Programa de Auditoria</w:t>
            </w:r>
          </w:p>
        </w:tc>
        <w:tc>
          <w:tcPr>
            <w:vMerge w:val="restart"/>
          </w:tcPr>
          <w:p>
            <w:pPr>
              <w:pStyle w:val="BodyText"/>
            </w:pPr>
            <w:r>
              <w:t xml:space="preserve">Projetos e documentação de auditoria</w:t>
            </w:r>
          </w:p>
        </w:tc>
        <w:tc>
          <w:tcPr>
            <w:gridSpan w:val="1"/>
            <w:vMerge w:val="continue"/>
          </w:tcPr>
          <w:p>
            <w:pPr/>
          </w:p>
        </w:tc>
      </w:tr>
      <w:tr>
        <w:tc>
          <w:tcPr/>
          <w:p>
            <w:pPr>
              <w:pStyle w:val="BodyText"/>
            </w:pPr>
            <w:r>
              <w:t xml:space="preserve">Matriz de Controle de Risco de Auditoria</w:t>
            </w:r>
          </w:p>
        </w:tc>
        <w:tc>
          <w:tcPr>
            <w:gridSpan w:val="1"/>
            <w:vMerge w:val="continue"/>
          </w:tcPr>
          <w:p>
            <w:pPr/>
          </w:p>
        </w:tc>
        <w:tc>
          <w:tcPr>
            <w:gridSpan w:val="1"/>
            <w:vMerge w:val="continue"/>
          </w:tcPr>
          <w:p>
            <w:pPr/>
          </w:p>
        </w:tc>
      </w:tr>
      <w:tr>
        <w:tc>
          <w:tcPr/>
          <w:p>
            <w:pPr>
              <w:pStyle w:val="BodyText"/>
            </w:pPr>
            <w:r>
              <w:t xml:space="preserve">Documentação da auditoria</w:t>
            </w:r>
          </w:p>
        </w:tc>
        <w:tc>
          <w:tcPr>
            <w:gridSpan w:val="1"/>
            <w:vMerge w:val="continue"/>
          </w:tcPr>
          <w:p>
            <w:pPr/>
          </w:p>
        </w:tc>
        <w:tc>
          <w:tcPr>
            <w:gridSpan w:val="1"/>
            <w:vMerge w:val="continue"/>
          </w:tcPr>
          <w:p>
            <w:pPr/>
          </w:p>
        </w:tc>
      </w:tr>
      <w:tr>
        <w:tc>
          <w:tcPr/>
          <w:p>
            <w:pPr>
              <w:pStyle w:val="BodyText"/>
            </w:pPr>
            <w:r>
              <w:t xml:space="preserve">Fontes autorizadas</w:t>
            </w:r>
          </w:p>
        </w:tc>
        <w:tc>
          <w:tcPr/>
          <w:p>
            <w:pPr>
              <w:pStyle w:val="BodyText"/>
            </w:pPr>
            <w:r>
              <w:t xml:space="preserve">Gestão de Programas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Pacote de autorização</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bookmarkStart w:id="46" w:name="B"/>
            <w:bookmarkEnd w:id="46"/>
            <w:r>
              <w:t xml:space="preserve"> </w:t>
            </w:r>
            <w:r>
              <w:t xml:space="preserve">Disponibilidade básica</w:t>
            </w:r>
          </w:p>
          <w:p>
            <w:pPr>
              <w:pStyle w:val="BodyText"/>
            </w:pPr>
            <w:r>
              <w:t xml:space="preserve"> </w:t>
            </w:r>
          </w:p>
        </w:tc>
        <w:tc>
          <w:tcPr/>
          <w:p>
            <w:pPr>
              <w:pStyle w:val="BodyText"/>
            </w:pPr>
            <w:r>
              <w:t xml:space="preserve">Projetos e documentação de auditoria</w:t>
            </w:r>
          </w:p>
        </w:tc>
        <w:tc>
          <w:tcPr>
            <w:vMerge w:val="restart"/>
          </w:tcPr>
          <w:p>
            <w:pPr>
              <w:pStyle w:val="BodyText"/>
            </w:pPr>
            <w:hyperlink r:id="rId26">
              <w:r>
                <w:rPr>
                  <w:rStyle w:val="Hyperlink"/>
                </w:rPr>
                <w:t xml:space="preserve">Ajuda do Gerenciamento de auditoria</w:t>
              </w:r>
            </w:hyperlink>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p>
            <w:pPr>
              <w:pStyle w:val="BodyText"/>
            </w:pPr>
            <w:r>
              <w:t xml:space="preserve">Planejamento de BC/DR</w:t>
            </w:r>
          </w:p>
        </w:tc>
        <w:tc>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p>
            <w:pPr>
              <w:pStyle w:val="BodyText"/>
            </w:pPr>
            <w:r>
              <w:t xml:space="preserve"> </w:t>
            </w:r>
          </w:p>
          <w:p>
            <w:pPr>
              <w:pStyle w:val="BodyText"/>
            </w:pPr>
            <w:r>
              <w:t xml:space="preserve"> </w:t>
            </w:r>
          </w:p>
          <w:p>
            <w:pPr>
              <w:pStyle w:val="BodyText"/>
            </w:pPr>
            <w:r>
              <w:t xml:space="preserve"> </w:t>
            </w:r>
          </w:p>
        </w:tc>
      </w:tr>
      <w:tr>
        <w:tc>
          <w:tcPr>
            <w:vMerge w:val="restart"/>
          </w:tcPr>
          <w:p>
            <w:pPr>
              <w:pStyle w:val="BodyText"/>
            </w:pPr>
            <w:r>
              <w:t xml:space="preserve">Arquivamento de BIA</w:t>
            </w:r>
          </w:p>
          <w:p>
            <w:pPr>
              <w:pStyle w:val="BodyText"/>
            </w:pPr>
            <w:r>
              <w:t xml:space="preserve"> </w:t>
            </w:r>
          </w:p>
        </w:tc>
        <w:tc>
          <w:tcPr/>
          <w:p>
            <w:pPr>
              <w:pStyle w:val="BodyText"/>
            </w:pPr>
            <w:r>
              <w:t xml:space="preserve">Análise de impacto de negócio</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Campanha de BIA</w:t>
            </w:r>
          </w:p>
          <w:p>
            <w:pPr>
              <w:pStyle w:val="BodyText"/>
            </w:pPr>
            <w:r>
              <w:t xml:space="preserve"> </w:t>
            </w:r>
          </w:p>
        </w:tc>
        <w:tc>
          <w:tcPr/>
          <w:p>
            <w:pPr>
              <w:pStyle w:val="BodyText"/>
            </w:pPr>
            <w:r>
              <w:t xml:space="preserve">Análise de impacto de negócio</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p>
            <w:pPr>
              <w:pStyle w:val="BodyText"/>
            </w:pPr>
            <w:r>
              <w:t xml:space="preserve">Biblioteca de procedimentos de resposta a violação</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Avaliação de riscos de violação</w:t>
            </w:r>
          </w:p>
        </w:tc>
        <w:tc>
          <w:tcPr>
            <w:gridSpan w:val="1"/>
            <w:vMerge w:val="continue"/>
          </w:tcPr>
          <w:p>
            <w:pPr/>
          </w:p>
        </w:tc>
        <w:tc>
          <w:tcPr>
            <w:gridSpan w:val="1"/>
            <w:vMerge w:val="continue"/>
          </w:tcPr>
          <w:p>
            <w:pPr/>
          </w:p>
        </w:tc>
      </w:tr>
      <w:tr>
        <w:tc>
          <w:tcPr/>
          <w:p>
            <w:pPr>
              <w:pStyle w:val="BodyText"/>
            </w:pPr>
            <w:r>
              <w:t xml:space="preserve">Tarefas relativas a violação</w:t>
            </w:r>
          </w:p>
        </w:tc>
        <w:tc>
          <w:tcPr>
            <w:gridSpan w:val="1"/>
            <w:vMerge w:val="continue"/>
          </w:tcPr>
          <w:p>
            <w:pPr/>
          </w:p>
        </w:tc>
        <w:tc>
          <w:tcPr>
            <w:gridSpan w:val="1"/>
            <w:vMerge w:val="continue"/>
          </w:tcPr>
          <w:p>
            <w:pPr/>
          </w:p>
        </w:tc>
      </w:tr>
      <w:tr>
        <w:tc>
          <w:tcPr>
            <w:vMerge w:val="restart"/>
          </w:tcPr>
          <w:p>
            <w:pPr>
              <w:pStyle w:val="BodyText"/>
            </w:pPr>
            <w:r>
              <w:t xml:space="preserve">Análise de impacto de negócio</w:t>
            </w:r>
          </w:p>
          <w:p>
            <w:pPr>
              <w:pStyle w:val="BodyText"/>
            </w:pPr>
            <w:r>
              <w:t xml:space="preserve"> </w:t>
            </w:r>
          </w:p>
        </w:tc>
        <w:tc>
          <w:tcPr/>
          <w:p>
            <w:pPr>
              <w:pStyle w:val="BodyText"/>
            </w:pPr>
            <w:r>
              <w:t xml:space="preserve">Análise de impacto de negócio</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Processos de negócios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gridSpan w:val="1"/>
            <w:vMerge w:val="continue"/>
          </w:tcPr>
          <w:p>
            <w:pPr/>
          </w:p>
        </w:tc>
        <w:tc>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Dados de avaliação de processos de negócios</w:t>
            </w:r>
          </w:p>
        </w:tc>
        <w:tc>
          <w:tcPr/>
          <w:p>
            <w:pPr>
              <w:pStyle w:val="BodyText"/>
            </w:pPr>
            <w:r>
              <w:t xml:space="preserve">Gerenciamento do risco operacional</w:t>
            </w:r>
          </w:p>
        </w:tc>
        <w:tc>
          <w:tcPr>
            <w:gridSpan w:val="1"/>
            <w:vMerge w:val="continue"/>
          </w:tcPr>
          <w:p>
            <w:pPr/>
          </w:p>
        </w:tc>
      </w:tr>
      <w:tr>
        <w:tc>
          <w:tcPr>
            <w:vMerge w:val="restart"/>
          </w:tcPr>
          <w:p>
            <w:pPr>
              <w:pStyle w:val="BodyText"/>
            </w:pPr>
            <w:r>
              <w:t xml:space="preserve">Unidade de negócios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bookmarkStart w:id="47" w:name="C"/>
            <w:bookmarkEnd w:id="47"/>
            <w:r>
              <w:t xml:space="preserve"> </w:t>
            </w:r>
            <w:r>
              <w:t xml:space="preserve">Ambiente de dados do titular do cartão</w:t>
            </w: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Certificados de seguro</w:t>
            </w: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vMerge w:val="restart"/>
          </w:tcPr>
          <w:p>
            <w:pPr>
              <w:pStyle w:val="BodyText"/>
            </w:pPr>
            <w:r>
              <w:t xml:space="preserve">Solicitações de alteração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Serviço em nuvem</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Empresa</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vMerge w:val="restart"/>
          </w:tcPr>
          <w:p>
            <w:pPr>
              <w:pStyle w:val="BodyText"/>
            </w:pPr>
            <w:r>
              <w:t xml:space="preserve">Engajamento de conformidade</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p>
            <w:pPr>
              <w:pStyle w:val="BodyText"/>
            </w:pPr>
            <w:r>
              <w:t xml:space="preserve">Projeto de conformidade</w:t>
            </w:r>
          </w:p>
        </w:tc>
        <w:tc>
          <w:tcPr/>
          <w:p>
            <w:pPr>
              <w:pStyle w:val="BodyText"/>
            </w:pPr>
            <w:r>
              <w:t xml:space="preserve">Gerenciamento de PCI</w:t>
            </w:r>
          </w:p>
        </w:tc>
        <w:tc>
          <w:tcPr>
            <w:gridSpan w:val="1"/>
            <w:vMerge w:val="continue"/>
          </w:tcPr>
          <w:p>
            <w:pPr/>
          </w:p>
        </w:tc>
      </w:tr>
      <w:tr>
        <w:tc>
          <w:tcPr>
            <w:vMerge w:val="restart"/>
          </w:tcPr>
          <w:p>
            <w:pPr>
              <w:pStyle w:val="BodyText"/>
            </w:pPr>
            <w:r>
              <w:t xml:space="preserve">Escopo de conformidade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vMerge w:val="restart"/>
          </w:tcPr>
          <w:p>
            <w:pPr>
              <w:pStyle w:val="BodyText"/>
            </w:pPr>
            <w:r>
              <w:t xml:space="preserve">Garantia de controles de TI</w:t>
            </w:r>
          </w:p>
          <w:p>
            <w:pPr>
              <w:pStyle w:val="BodyText"/>
            </w:pPr>
            <w:r>
              <w:t xml:space="preserve"> </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Resultados da verificação de configuração</w:t>
            </w:r>
          </w:p>
        </w:tc>
        <w:tc>
          <w:tcPr>
            <w:gridSpan w:val="1"/>
            <w:vMerge w:val="continue"/>
          </w:tcPr>
          <w:p>
            <w:pPr/>
          </w:p>
        </w:tc>
        <w:tc>
          <w:tcPr>
            <w:gridSpan w:val="1"/>
            <w:vMerge w:val="continue"/>
          </w:tcPr>
          <w:p>
            <w:pPr/>
          </w:p>
        </w:tc>
      </w:tr>
      <w:tr>
        <w:tc>
          <w:tcPr/>
          <w:p>
            <w:pPr>
              <w:pStyle w:val="BodyText"/>
            </w:pPr>
            <w:r>
              <w:t xml:space="preserve">Verificações de configuração</w:t>
            </w:r>
          </w:p>
        </w:tc>
        <w:tc>
          <w:tcPr>
            <w:gridSpan w:val="1"/>
            <w:vMerge w:val="continue"/>
          </w:tcPr>
          <w:p>
            <w:pPr/>
          </w:p>
        </w:tc>
        <w:tc>
          <w:tcPr>
            <w:gridSpan w:val="1"/>
            <w:vMerge w:val="continue"/>
          </w:tcPr>
          <w:p>
            <w:pPr/>
          </w:p>
        </w:tc>
      </w:tr>
      <w:tr>
        <w:tc>
          <w:tcPr>
            <w:vMerge w:val="restart"/>
          </w:tcPr>
          <w:p>
            <w:pPr>
              <w:pStyle w:val="BodyText"/>
            </w:pPr>
            <w:r>
              <w:t xml:space="preserve">Contatos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Calculadora de dupla materialidade de ESG</w:t>
            </w:r>
          </w:p>
        </w:tc>
        <w:tc>
          <w:tcPr>
            <w:vMerge w:val="restart"/>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ESG</w:t>
            </w:r>
          </w:p>
        </w:tc>
        <w:tc>
          <w:tcPr>
            <w:gridSpan w:val="1"/>
            <w:vMerge w:val="continue"/>
          </w:tcPr>
          <w:p>
            <w:pPr/>
          </w:p>
        </w:tc>
      </w:tr>
      <w:tr>
        <w:tc>
          <w:tcPr>
            <w:gridSpan w:val="1"/>
            <w:vMerge w:val="continue"/>
          </w:tcPr>
          <w:p>
            <w:pP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Loss Event Management</w:t>
            </w:r>
          </w:p>
        </w:tc>
        <w:tc>
          <w:tcPr>
            <w:vMerge w:val="restart"/>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Gerenciamento do risco operacional</w:t>
            </w:r>
          </w:p>
        </w:tc>
        <w:tc>
          <w:tcPr>
            <w:gridSpan w:val="1"/>
            <w:vMerge w:val="continue"/>
          </w:tcPr>
          <w:p>
            <w:pPr/>
          </w:p>
        </w:tc>
      </w:tr>
      <w:tr>
        <w:tc>
          <w:tcPr>
            <w:gridSpan w:val="1"/>
            <w:vMerge w:val="continue"/>
          </w:tcPr>
          <w:p>
            <w:pPr/>
          </w:p>
        </w:tc>
        <w:tc>
          <w:tcPr/>
          <w:p>
            <w:pPr>
              <w:pStyle w:val="BodyText"/>
            </w:pPr>
            <w:r>
              <w:t xml:space="preserve">Catálogo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p>
            <w:pPr>
              <w:pStyle w:val="BodyText"/>
            </w:pPr>
            <w:r>
              <w:t xml:space="preserve">Contratos</w:t>
            </w:r>
          </w:p>
        </w:tc>
        <w:tc>
          <w:tcPr/>
          <w:p>
            <w:pPr>
              <w:pStyle w:val="BodyText"/>
            </w:pPr>
            <w:r>
              <w:t xml:space="preserve">Catálogo de terceiros</w:t>
            </w:r>
          </w:p>
        </w:tc>
        <w:tc>
          <w:tcPr>
            <w:gridSpan w:val="1"/>
            <w:vMerge w:val="continue"/>
          </w:tcPr>
          <w:p>
            <w:pPr/>
          </w:p>
        </w:tc>
      </w:tr>
      <w:tr>
        <w:tc>
          <w:tcPr/>
          <w:p>
            <w:pPr>
              <w:pStyle w:val="BodyText"/>
            </w:pPr>
            <w:r>
              <w:t xml:space="preserve">Certificações 302 de controle</w:t>
            </w: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r>
              <w:t xml:space="preserve">Dados de avaliação de controle</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Catálogo de controle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Gerador de controles</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Implementação de controle</w:t>
            </w: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p>
            <w:pPr>
              <w:pStyle w:val="BodyText"/>
            </w:pPr>
            <w:r>
              <w:t xml:space="preserve">Matriz de controle</w:t>
            </w:r>
          </w:p>
        </w:tc>
        <w:tc>
          <w:tcPr/>
          <w:p>
            <w:pPr>
              <w:pStyle w:val="BodyText"/>
            </w:pPr>
            <w:r>
              <w:t xml:space="preserve">Gerenciamento de PCI</w:t>
            </w:r>
          </w:p>
        </w:tc>
        <w:tc>
          <w:tcPr/>
          <w:p>
            <w:pPr>
              <w:pStyle w:val="Compact"/>
            </w:pPr>
            <w:hyperlink r:id="rId32">
              <w:r>
                <w:rPr>
                  <w:rStyle w:val="Hyperlink"/>
                </w:rPr>
                <w:t xml:space="preserve">Ajuda do Gerenciamento de riscos de TI e segurança</w:t>
              </w:r>
            </w:hyperlink>
          </w:p>
        </w:tc>
      </w:tr>
      <w:tr>
        <w:tc>
          <w:tcPr/>
          <w:p>
            <w:pPr>
              <w:pStyle w:val="BodyText"/>
            </w:pPr>
            <w:r>
              <w:t xml:space="preserve">Sobreposição de controle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Procedimentos de controle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Governança dos dados</w:t>
            </w:r>
          </w:p>
        </w:tc>
        <w:tc>
          <w:tcPr>
            <w:gridSpan w:val="1"/>
            <w:vMerge w:val="continue"/>
          </w:tcPr>
          <w:p>
            <w:pP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Garantia de controles de TI</w:t>
            </w:r>
          </w:p>
        </w:tc>
        <w:tc>
          <w:tcPr>
            <w:gridSpan w:val="1"/>
            <w:vMerge w:val="continue"/>
          </w:tcPr>
          <w:p>
            <w:pP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Gerenciamento de PCI</w:t>
            </w:r>
          </w:p>
        </w:tc>
        <w:tc>
          <w:tcPr>
            <w:gridSpan w:val="1"/>
            <w:vMerge w:val="continue"/>
          </w:tcPr>
          <w:p>
            <w:pPr/>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Unidade de definição de escopo de controle</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Autoavaliações de controle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Snapshots de controle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Padrões de controle</w:t>
            </w: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Variáveis globais corporativas</w:t>
            </w:r>
          </w:p>
        </w:tc>
        <w:tc>
          <w:tcPr/>
          <w:p>
            <w:pPr>
              <w:pStyle w:val="BodyText"/>
            </w:pPr>
            <w:r>
              <w:t xml:space="preserve">Archer Insight</w:t>
            </w:r>
          </w:p>
        </w:tc>
        <w:tc>
          <w:tcPr/>
          <w:p>
            <w:pPr>
              <w:pStyle w:val="BodyText"/>
            </w:pPr>
            <w:hyperlink r:id="rId48">
              <w:r>
                <w:rPr>
                  <w:rStyle w:val="Hyperlink"/>
                </w:rPr>
                <w:t xml:space="preserve">Ajuda do Insight</w:t>
              </w:r>
            </w:hyperlink>
          </w:p>
        </w:tc>
      </w:tr>
      <w:tr>
        <w:tc>
          <w:tcPr/>
          <w:p>
            <w:pPr>
              <w:pStyle w:val="BodyText"/>
            </w:pPr>
            <w:r>
              <w:t xml:space="preserve">Objetivos corporativos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Eventos de crise</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p>
            <w:pPr>
              <w:pStyle w:val="BodyText"/>
            </w:pPr>
            <w:bookmarkStart w:id="49" w:name="D"/>
            <w:bookmarkEnd w:id="49"/>
            <w:r>
              <w:t xml:space="preserve"> </w:t>
            </w:r>
            <w:r>
              <w:t xml:space="preserve">Violações de dados</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identificação de dados</w:t>
            </w:r>
          </w:p>
        </w:tc>
        <w:tc>
          <w:tcPr>
            <w:vMerge w:val="restart"/>
          </w:tcPr>
          <w:p>
            <w:pPr>
              <w:pStyle w:val="BodyText"/>
            </w:pPr>
            <w:r>
              <w:t xml:space="preserve">Gerenciamento do programa de privacidade</w:t>
            </w:r>
          </w:p>
        </w:tc>
        <w:tc>
          <w:tcPr>
            <w:vMerge w:val="restart"/>
          </w:tcPr>
          <w:p>
            <w:pPr>
              <w:pStyle w:val="BodyText"/>
            </w:pPr>
            <w:hyperlink r:id="rId36">
              <w:r>
                <w:rPr>
                  <w:rStyle w:val="Hyperlink"/>
                </w:rPr>
                <w:t xml:space="preserve">Ajuda de conformidade normativa e corporativa</w:t>
              </w:r>
            </w:hyperlink>
          </w:p>
        </w:tc>
      </w:tr>
      <w:tr>
        <w:tc>
          <w:tcPr/>
          <w:p>
            <w:pPr>
              <w:pStyle w:val="BodyText"/>
            </w:pPr>
            <w:r>
              <w:t xml:space="preserve">Avaliação do impacto da proteção de dados</w:t>
            </w:r>
          </w:p>
        </w:tc>
        <w:tc>
          <w:tcPr>
            <w:gridSpan w:val="1"/>
            <w:vMerge w:val="continue"/>
          </w:tcPr>
          <w:p>
            <w:pPr/>
          </w:p>
        </w:tc>
        <w:tc>
          <w:tcPr>
            <w:gridSpan w:val="1"/>
            <w:vMerge w:val="continue"/>
          </w:tcPr>
          <w:p>
            <w:pPr/>
          </w:p>
        </w:tc>
      </w:tr>
      <w:tr>
        <w:tc>
          <w:tcPr/>
          <w:p>
            <w:pPr>
              <w:pStyle w:val="BodyText"/>
            </w:pPr>
            <w:r>
              <w:t xml:space="preserve">Projetos de proteção de dados</w:t>
            </w:r>
          </w:p>
        </w:tc>
        <w:tc>
          <w:tcPr>
            <w:gridSpan w:val="1"/>
            <w:vMerge w:val="continue"/>
          </w:tcPr>
          <w:p>
            <w:pPr/>
          </w:p>
        </w:tc>
        <w:tc>
          <w:tcPr>
            <w:gridSpan w:val="1"/>
            <w:vMerge w:val="continue"/>
          </w:tcPr>
          <w:p>
            <w:pPr/>
          </w:p>
        </w:tc>
      </w:tr>
      <w:tr>
        <w:tc>
          <w:tcPr>
            <w:vMerge w:val="restart"/>
          </w:tcPr>
          <w:p>
            <w:pPr>
              <w:pStyle w:val="BodyText"/>
            </w:pPr>
            <w:r>
              <w:t xml:space="preserve">Títulos e certificações</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Departamento</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vMerge w:val="restart"/>
          </w:tcPr>
          <w:p>
            <w:pPr>
              <w:pStyle w:val="BodyText"/>
            </w:pPr>
            <w:r>
              <w:t xml:space="preserve">Resultados do teste do projeto</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p>
            <w:pPr>
              <w:pStyle w:val="BodyText"/>
            </w:pPr>
            <w:r>
              <w:t xml:space="preserve">Avaliação do dispositivo</w:t>
            </w:r>
          </w:p>
        </w:tc>
        <w:tc>
          <w:tcPr/>
          <w:p>
            <w:pPr>
              <w:pStyle w:val="BodyText"/>
            </w:pPr>
            <w:r>
              <w:t xml:space="preserve">Gerenciamento de riscos de TI</w:t>
            </w:r>
          </w:p>
        </w:tc>
        <w:tc>
          <w:tcPr>
            <w:gridSpan w:val="1"/>
            <w:vMerge w:val="continue"/>
          </w:tcPr>
          <w:p>
            <w:pPr/>
          </w:p>
        </w:tc>
      </w:tr>
      <w:tr>
        <w:tc>
          <w:tcPr>
            <w:vMerge w:val="restart"/>
          </w:tcPr>
          <w:p>
            <w:pPr>
              <w:pStyle w:val="BodyText"/>
            </w:pPr>
            <w:r>
              <w:t xml:space="preserve">Dispositivos</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Identidade digital</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r>
              <w:t xml:space="preserve">Divulgações</w:t>
            </w:r>
          </w:p>
        </w:tc>
        <w:tc>
          <w:tcPr/>
          <w:p>
            <w:pPr>
              <w:pStyle w:val="BodyText"/>
            </w:pPr>
            <w:r>
              <w:t xml:space="preserve">Relatórios de sustentabilidade</w:t>
            </w:r>
          </w:p>
        </w:tc>
        <w:tc>
          <w:tcPr/>
          <w:p>
            <w:pPr>
              <w:pStyle w:val="BodyText"/>
            </w:pPr>
            <w:hyperlink r:id="rId30">
              <w:r>
                <w:rPr>
                  <w:rStyle w:val="Hyperlink"/>
                </w:rPr>
                <w:t xml:space="preserve">Ajuda do Gerenciamento de ESG</w:t>
              </w:r>
            </w:hyperlink>
          </w:p>
        </w:tc>
      </w:tr>
      <w:tr>
        <w:tc>
          <w:tcPr>
            <w:vMerge w:val="restart"/>
          </w:tcPr>
          <w:p>
            <w:pPr>
              <w:pStyle w:val="BodyText"/>
            </w:pPr>
            <w:r>
              <w:t xml:space="preserve">Divisão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r>
              <w:t xml:space="preserve">Calculadora de dupla materialidade</w:t>
            </w:r>
          </w:p>
        </w:tc>
        <w:tc>
          <w:tcPr/>
          <w:p>
            <w:pPr>
              <w:pStyle w:val="BodyText"/>
            </w:pPr>
            <w:r>
              <w:t xml:space="preserve">Calculadora de dupla materialidade</w:t>
            </w:r>
          </w:p>
        </w:tc>
        <w:tc>
          <w:tcPr/>
          <w:p>
            <w:pPr>
              <w:pStyle w:val="BodyText"/>
            </w:pPr>
            <w:hyperlink r:id="rId30">
              <w:r>
                <w:rPr>
                  <w:rStyle w:val="Hyperlink"/>
                </w:rPr>
                <w:t xml:space="preserve">Ajuda do Gerenciamento de ESG</w:t>
              </w:r>
            </w:hyperlink>
          </w:p>
        </w:tc>
      </w:tr>
      <w:tr>
        <w:tc>
          <w:tcPr/>
          <w:p>
            <w:pPr>
              <w:pStyle w:val="BodyText"/>
            </w:pPr>
            <w:bookmarkStart w:id="50" w:name="E"/>
            <w:bookmarkEnd w:id="50"/>
            <w:r>
              <w:t xml:space="preserve"> </w:t>
            </w:r>
            <w:r>
              <w:t xml:space="preserve">Avaliações de risco do contrato</w:t>
            </w:r>
          </w:p>
        </w:tc>
        <w:tc>
          <w:tcPr/>
          <w:p>
            <w:pPr>
              <w:pStyle w:val="BodyText"/>
            </w:pPr>
            <w:r>
              <w:t xml:space="preserve">Gerenciamento de riscos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Tipos de projeto</w:t>
            </w:r>
          </w:p>
        </w:tc>
        <w:tc>
          <w:tcPr>
            <w:vMerge w:val="restart"/>
          </w:tcPr>
          <w:p>
            <w:pPr>
              <w:pStyle w:val="BodyText"/>
            </w:pPr>
            <w:r>
              <w:t xml:space="preserve">Catálogo de terceiros</w:t>
            </w:r>
          </w:p>
        </w:tc>
        <w:tc>
          <w:tcPr>
            <w:gridSpan w:val="1"/>
            <w:vMerge w:val="continue"/>
          </w:tcPr>
          <w:p>
            <w:pPr/>
          </w:p>
        </w:tc>
      </w:tr>
      <w:tr>
        <w:tc>
          <w:tcPr>
            <w:vMerge w:val="restart"/>
          </w:tcPr>
          <w:p>
            <w:pPr>
              <w:pStyle w:val="BodyText"/>
            </w:pPr>
            <w:r>
              <w:t xml:space="preserve">Projetos</w:t>
            </w:r>
          </w:p>
          <w:p>
            <w:pPr>
              <w:pStyle w:val="BodyText"/>
            </w:pPr>
            <w:r>
              <w:t xml:space="preserve"> </w:t>
            </w:r>
          </w:p>
          <w:p>
            <w:pPr>
              <w:pStyle w:val="BodyText"/>
            </w:pPr>
            <w:r>
              <w:t xml:space="preserve"> </w:t>
            </w:r>
          </w:p>
        </w:tc>
        <w:tc>
          <w:tcPr>
            <w:gridSpan w:val="1"/>
            <w:vMerge w:val="continue"/>
          </w:tcPr>
          <w:p>
            <w:pPr/>
          </w:p>
        </w:tc>
        <w:tc>
          <w:tcPr>
            <w:gridSpan w:val="1"/>
            <w:vMerge w:val="continue"/>
          </w:tcPr>
          <w:p>
            <w:pPr/>
          </w:p>
        </w:tc>
      </w:tr>
      <w:tr>
        <w:tc>
          <w:tcPr>
            <w:gridSpan w:val="1"/>
            <w:vMerge w:val="continue"/>
          </w:tcPr>
          <w:p>
            <w:pPr/>
          </w:p>
        </w:tc>
        <w:tc>
          <w:tcPr/>
          <w:p>
            <w:pPr>
              <w:pStyle w:val="BodyText"/>
            </w:pPr>
            <w:r>
              <w:t xml:space="preserve">Projeto de terceiros</w:t>
            </w:r>
          </w:p>
        </w:tc>
        <w:tc>
          <w:tcPr>
            <w:gridSpan w:val="1"/>
            <w:vMerge w:val="continue"/>
          </w:tcPr>
          <w:p>
            <w:pP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r>
              <w:t xml:space="preserve">Unidade de definição de escopo de entidade</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p>
            <w:pPr>
              <w:pStyle w:val="BodyText"/>
            </w:pPr>
            <w:r>
              <w:t xml:space="preserve">Programas de coleta de dados de ESG</w:t>
            </w:r>
          </w:p>
        </w:tc>
        <w:tc>
          <w:tcPr>
            <w:vMerge w:val="restart"/>
          </w:tcPr>
          <w:p>
            <w:pPr>
              <w:pStyle w:val="BodyText"/>
            </w:pPr>
            <w:r>
              <w:t xml:space="preserve">Gerenciamento de ESG</w:t>
            </w:r>
          </w:p>
        </w:tc>
        <w:tc>
          <w:tcPr>
            <w:vMerge w:val="restart"/>
          </w:tcPr>
          <w:p>
            <w:pPr>
              <w:pStyle w:val="BodyText"/>
            </w:pPr>
            <w:hyperlink r:id="rId30">
              <w:r>
                <w:rPr>
                  <w:rStyle w:val="Hyperlink"/>
                </w:rPr>
                <w:t xml:space="preserve">Ajuda do Gerenciamento de ESG</w:t>
              </w:r>
            </w:hyperlink>
          </w:p>
        </w:tc>
      </w:tr>
      <w:tr>
        <w:tc>
          <w:tcPr/>
          <w:p>
            <w:pPr>
              <w:pStyle w:val="BodyText"/>
            </w:pPr>
            <w:r>
              <w:t xml:space="preserve">Biblioteca de ESG</w:t>
            </w:r>
          </w:p>
        </w:tc>
        <w:tc>
          <w:tcPr>
            <w:gridSpan w:val="1"/>
            <w:vMerge w:val="continue"/>
          </w:tcPr>
          <w:p>
            <w:pPr/>
          </w:p>
        </w:tc>
        <w:tc>
          <w:tcPr>
            <w:gridSpan w:val="1"/>
            <w:vMerge w:val="continue"/>
          </w:tcPr>
          <w:p>
            <w:pPr/>
          </w:p>
        </w:tc>
      </w:tr>
      <w:tr>
        <w:tc>
          <w:tcPr/>
          <w:p>
            <w:pPr>
              <w:pStyle w:val="BodyText"/>
            </w:pPr>
            <w:r>
              <w:t xml:space="preserve">Sistema de gerenciamento de ESG</w:t>
            </w:r>
          </w:p>
        </w:tc>
        <w:tc>
          <w:tcPr>
            <w:gridSpan w:val="1"/>
            <w:vMerge w:val="continue"/>
          </w:tcPr>
          <w:p>
            <w:pPr/>
          </w:p>
        </w:tc>
        <w:tc>
          <w:tcPr>
            <w:gridSpan w:val="1"/>
            <w:vMerge w:val="continue"/>
          </w:tcPr>
          <w:p>
            <w:pPr/>
          </w:p>
        </w:tc>
      </w:tr>
      <w:tr>
        <w:tc>
          <w:tcPr/>
          <w:p>
            <w:pPr>
              <w:pStyle w:val="BodyText"/>
            </w:pPr>
            <w:r>
              <w:t xml:space="preserve">Resultados da métrica de ESG</w:t>
            </w:r>
          </w:p>
        </w:tc>
        <w:tc>
          <w:tcPr>
            <w:gridSpan w:val="1"/>
            <w:vMerge w:val="continue"/>
          </w:tcPr>
          <w:p>
            <w:pPr/>
          </w:p>
        </w:tc>
        <w:tc>
          <w:tcPr>
            <w:gridSpan w:val="1"/>
            <w:vMerge w:val="continue"/>
          </w:tcPr>
          <w:p>
            <w:pPr/>
          </w:p>
        </w:tc>
      </w:tr>
      <w:tr>
        <w:tc>
          <w:tcPr/>
          <w:p>
            <w:pPr>
              <w:pStyle w:val="BodyText"/>
            </w:pPr>
            <w:r>
              <w:t xml:space="preserve">Métricas de ESG</w:t>
            </w:r>
          </w:p>
        </w:tc>
        <w:tc>
          <w:tcPr>
            <w:gridSpan w:val="1"/>
            <w:vMerge w:val="continue"/>
          </w:tcPr>
          <w:p>
            <w:pPr/>
          </w:p>
        </w:tc>
        <w:tc>
          <w:tcPr>
            <w:gridSpan w:val="1"/>
            <w:vMerge w:val="continue"/>
          </w:tcPr>
          <w:p>
            <w:pPr/>
          </w:p>
        </w:tc>
      </w:tr>
      <w:tr>
        <w:tc>
          <w:tcPr/>
          <w:p>
            <w:pPr>
              <w:pStyle w:val="BodyText"/>
            </w:pPr>
            <w:r>
              <w:t xml:space="preserve">Métricas da organização de ESG</w:t>
            </w:r>
          </w:p>
        </w:tc>
        <w:tc>
          <w:tcPr>
            <w:gridSpan w:val="1"/>
            <w:vMerge w:val="continue"/>
          </w:tcPr>
          <w:p>
            <w:pPr/>
          </w:p>
        </w:tc>
        <w:tc>
          <w:tcPr>
            <w:gridSpan w:val="1"/>
            <w:vMerge w:val="continue"/>
          </w:tcPr>
          <w:p>
            <w:pPr/>
          </w:p>
        </w:tc>
      </w:tr>
      <w:tr>
        <w:tc>
          <w:tcPr/>
          <w:p>
            <w:pPr>
              <w:pStyle w:val="BodyText"/>
            </w:pPr>
            <w:r>
              <w:t xml:space="preserve">Violações éticas</w:t>
            </w:r>
          </w:p>
        </w:tc>
        <w:tc>
          <w:tcPr/>
          <w:p>
            <w:pPr>
              <w:pStyle w:val="BodyText"/>
            </w:pPr>
            <w:r>
              <w:t xml:space="preserve">Gerenciamento de incidentes</w:t>
            </w:r>
          </w:p>
        </w:tc>
        <w:tc>
          <w:tcPr/>
          <w:p>
            <w:pPr>
              <w:pStyle w:val="BodyText"/>
            </w:pPr>
            <w:hyperlink r:id="rId38">
              <w:r>
                <w:rPr>
                  <w:rStyle w:val="Hyperlink"/>
                </w:rPr>
                <w:t xml:space="preserve">Ajuda da Resiliência de negócios</w:t>
              </w:r>
            </w:hyperlink>
          </w:p>
        </w:tc>
      </w:tr>
      <w:tr>
        <w:tc>
          <w:tcPr/>
          <w:p>
            <w:pPr>
              <w:pStyle w:val="BodyText"/>
            </w:pPr>
            <w:r>
              <w:t xml:space="preserve">Verificador de conformidade com a Lei de IA da UE</w:t>
            </w:r>
          </w:p>
        </w:tc>
        <w:tc>
          <w:tcPr/>
          <w:p>
            <w:pPr>
              <w:pStyle w:val="BodyText"/>
            </w:pPr>
            <w:r>
              <w:t xml:space="preserve">Governança de IA</w:t>
            </w:r>
          </w:p>
        </w:tc>
        <w:tc>
          <w:tcPr/>
          <w:p>
            <w:pPr>
              <w:pStyle w:val="BodyText"/>
            </w:pPr>
            <w:r>
              <w:t xml:space="preserve">Ajuda de Governança de IA</w:t>
            </w:r>
          </w:p>
        </w:tc>
      </w:tr>
      <w:tr>
        <w:tc>
          <w:tcPr>
            <w:vMerge w:val="restart"/>
          </w:tcPr>
          <w:p>
            <w:pPr>
              <w:pStyle w:val="BodyText"/>
            </w:pPr>
            <w:r>
              <w:t xml:space="preserve">Repositório de Evidências</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Solicitações de exceção</w:t>
            </w:r>
          </w:p>
        </w:tc>
        <w:tc>
          <w:tcPr/>
          <w:p>
            <w:pPr>
              <w:pStyle w:val="BodyText"/>
            </w:pPr>
            <w:r>
              <w:t xml:space="preserve">Gerenciamento de problemas</w:t>
            </w:r>
          </w:p>
        </w:tc>
        <w:tc>
          <w:tcPr>
            <w:vMerge w:val="restart"/>
          </w:tcPr>
          <w:p>
            <w:pPr>
              <w:pStyle w:val="BodyText"/>
            </w:pPr>
            <w:hyperlink r:id="rId26">
              <w:r>
                <w:rPr>
                  <w:rStyle w:val="Hyperlink"/>
                </w:rPr>
                <w:t xml:space="preserve">Ajuda do Gerenciamento de auditoria</w:t>
              </w:r>
            </w:hyperlink>
          </w:p>
        </w:tc>
      </w:tr>
      <w:tr>
        <w:tc>
          <w:tcPr/>
          <w:p>
            <w:pPr>
              <w:pStyle w:val="BodyText"/>
            </w:pPr>
            <w:r>
              <w:t xml:space="preserve">Relatórios de despesas</w:t>
            </w:r>
          </w:p>
        </w:tc>
        <w:tc>
          <w:tcPr>
            <w:vMerge w:val="restart"/>
          </w:tcPr>
          <w:p>
            <w:pPr>
              <w:pStyle w:val="BodyText"/>
            </w:pPr>
            <w:r>
              <w:t xml:space="preserve">Planejamento e qualidade de auditorias</w:t>
            </w:r>
          </w:p>
        </w:tc>
        <w:tc>
          <w:tcPr>
            <w:gridSpan w:val="1"/>
            <w:vMerge w:val="continue"/>
          </w:tcPr>
          <w:p>
            <w:pPr/>
          </w:p>
        </w:tc>
      </w:tr>
      <w:tr>
        <w:tc>
          <w:tcPr/>
          <w:p>
            <w:pPr>
              <w:pStyle w:val="BodyText"/>
            </w:pPr>
            <w:r>
              <w:t xml:space="preserve">Comprovantes de despesas</w:t>
            </w:r>
          </w:p>
        </w:tc>
        <w:tc>
          <w:tcPr>
            <w:gridSpan w:val="1"/>
            <w:vMerge w:val="continue"/>
          </w:tcPr>
          <w:p>
            <w:pPr/>
          </w:p>
        </w:tc>
        <w:tc>
          <w:tcPr>
            <w:gridSpan w:val="1"/>
            <w:vMerge w:val="continue"/>
          </w:tcPr>
          <w:p>
            <w:pPr/>
          </w:p>
        </w:tc>
      </w:tr>
      <w:tr>
        <w:tc>
          <w:tcPr>
            <w:vMerge w:val="restart"/>
          </w:tcPr>
          <w:p>
            <w:pPr>
              <w:pStyle w:val="BodyText"/>
            </w:pPr>
            <w:bookmarkStart w:id="51" w:name="F"/>
            <w:bookmarkEnd w:id="51"/>
            <w:r>
              <w:t xml:space="preserve"> </w:t>
            </w:r>
            <w:r>
              <w:t xml:space="preserve">Instalações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gridSpan w:val="1"/>
            <w:vMerge w:val="continue"/>
          </w:tcPr>
          <w:p>
            <w:pPr/>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r>
              <w:t xml:space="preserve">Avaliação da instalação</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Resultados</w:t>
            </w:r>
          </w:p>
          <w:p>
            <w:pPr>
              <w:pStyle w:val="BodyText"/>
            </w:pPr>
            <w:r>
              <w:t xml:space="preserve"> </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de POA&amp;M</w:t>
            </w:r>
          </w:p>
        </w:tc>
        <w:tc>
          <w:tcPr/>
          <w:p>
            <w:pPr>
              <w:pStyle w:val="BodyText"/>
            </w:pPr>
            <w:hyperlink r:id="rId34">
              <w:r>
                <w:rPr>
                  <w:rStyle w:val="Hyperlink"/>
                </w:rPr>
                <w:t xml:space="preserve">Ajuda do setor público</w:t>
              </w:r>
            </w:hyperlink>
          </w:p>
        </w:tc>
      </w:tr>
      <w:tr>
        <w:tc>
          <w:tcPr>
            <w:vMerge w:val="restart"/>
          </w:tcPr>
          <w:p>
            <w:pPr>
              <w:pStyle w:val="BodyText"/>
            </w:pPr>
            <w:r>
              <w:t xml:space="preserve">Pastas de resultados</w:t>
            </w:r>
          </w:p>
          <w:p>
            <w:pPr>
              <w:pStyle w:val="BodyText"/>
            </w:pPr>
            <w:r>
              <w:t xml:space="preserve"> </w:t>
            </w:r>
          </w:p>
        </w:tc>
        <w:tc>
          <w:tcPr/>
          <w:p>
            <w:pPr>
              <w:pStyle w:val="BodyText"/>
            </w:pPr>
            <w:r>
              <w:t xml:space="preserve">Gerenciamento de problemas</w:t>
            </w:r>
          </w:p>
        </w:tc>
        <w:tc>
          <w:tcPr/>
          <w:p>
            <w:pPr>
              <w:pStyle w:val="Compac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de POA&amp;M</w:t>
            </w:r>
          </w:p>
        </w:tc>
        <w:tc>
          <w:tcPr/>
          <w:p>
            <w:pPr>
              <w:pStyle w:val="BodyText"/>
            </w:pPr>
            <w:hyperlink r:id="rId34">
              <w:r>
                <w:rPr>
                  <w:rStyle w:val="Hyperlink"/>
                </w:rPr>
                <w:t xml:space="preserve">Ajuda do setor público</w:t>
              </w:r>
            </w:hyperlink>
          </w:p>
        </w:tc>
      </w:tr>
      <w:tr>
        <w:tc>
          <w:tcPr/>
          <w:p>
            <w:pPr>
              <w:pStyle w:val="BodyText"/>
            </w:pPr>
            <w:r>
              <w:t xml:space="preserve">Análise jurídica</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fraude</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p>
            <w:pPr>
              <w:pStyle w:val="BodyText"/>
            </w:pPr>
            <w:bookmarkStart w:id="52" w:name="G"/>
            <w:bookmarkEnd w:id="52"/>
            <w:r>
              <w:t xml:space="preserve"> </w:t>
            </w:r>
            <w:r>
              <w:t xml:space="preserve">Contas do Razão</w:t>
            </w:r>
          </w:p>
        </w:tc>
        <w:tc>
          <w:tcPr>
            <w:vMerge w:val="restart"/>
          </w:tcPr>
          <w:p>
            <w:pPr>
              <w:pStyle w:val="BodyText"/>
            </w:pPr>
            <w:r>
              <w:t xml:space="preserve">Monitoramento de controles financeiros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p>
            <w:pPr>
              <w:pStyle w:val="BodyText"/>
            </w:pPr>
            <w:r>
              <w:t xml:space="preserve">Avaliação de riscos do livro Razão geral</w:t>
            </w:r>
          </w:p>
        </w:tc>
        <w:tc>
          <w:tcPr>
            <w:gridSpan w:val="1"/>
            <w:vMerge w:val="continue"/>
          </w:tcPr>
          <w:p>
            <w:pPr/>
          </w:p>
        </w:tc>
        <w:tc>
          <w:tcPr>
            <w:gridSpan w:val="1"/>
            <w:vMerge w:val="continue"/>
          </w:tcPr>
          <w:p>
            <w:pPr/>
          </w:p>
        </w:tc>
      </w:tr>
      <w:tr>
        <w:tc>
          <w:tcPr>
            <w:vMerge w:val="restart"/>
          </w:tcPr>
          <w:p>
            <w:pPr>
              <w:pStyle w:val="BodyText"/>
            </w:pPr>
            <w:bookmarkStart w:id="53" w:name="H"/>
            <w:bookmarkEnd w:id="53"/>
            <w:r>
              <w:t xml:space="preserve"> </w:t>
            </w:r>
            <w:r>
              <w:t xml:space="preserve">Hardware</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bookmarkStart w:id="54" w:name="I"/>
            <w:bookmarkEnd w:id="54"/>
            <w:r>
              <w:t xml:space="preserve"> </w:t>
            </w:r>
            <w:r>
              <w:t xml:space="preserve">Resultados do projeto e da avaliação de auditoria interna</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p>
            <w:pPr>
              <w:pStyle w:val="BodyText"/>
            </w:pPr>
            <w:r>
              <w:t xml:space="preserve">Regras de aprovação do impacto</w:t>
            </w:r>
          </w:p>
        </w:tc>
        <w:tc>
          <w:tcPr/>
          <w:p>
            <w:pPr>
              <w:pStyle w:val="BodyText"/>
            </w:pPr>
            <w:r>
              <w:t xml:space="preserve">Loss Event Management</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Tolerâncias a impactos</w:t>
            </w: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p>
            <w:pPr>
              <w:pStyle w:val="BodyText"/>
            </w:pPr>
            <w:r>
              <w:t xml:space="preserve">Investigações de incidentes</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Registro do incidente</w:t>
            </w:r>
          </w:p>
        </w:tc>
        <w:tc>
          <w:tcPr>
            <w:gridSpan w:val="1"/>
            <w:vMerge w:val="continue"/>
          </w:tcPr>
          <w:p>
            <w:pPr/>
          </w:p>
        </w:tc>
        <w:tc>
          <w:tcPr>
            <w:gridSpan w:val="1"/>
            <w:vMerge w:val="continue"/>
          </w:tcPr>
          <w:p>
            <w:pPr/>
          </w:p>
        </w:tc>
      </w:tr>
      <w:tr>
        <w:tc>
          <w:tcPr/>
          <w:p>
            <w:pPr>
              <w:pStyle w:val="BodyText"/>
            </w:pPr>
            <w:r>
              <w:t xml:space="preserve">Biblioteca de procedimentos de resposta a incidentes</w:t>
            </w:r>
          </w:p>
        </w:tc>
        <w:tc>
          <w:tcPr>
            <w:gridSpan w:val="1"/>
            <w:vMerge w:val="continue"/>
          </w:tcPr>
          <w:p>
            <w:pPr/>
          </w:p>
        </w:tc>
        <w:tc>
          <w:tcPr>
            <w:gridSpan w:val="1"/>
            <w:vMerge w:val="continue"/>
          </w:tcPr>
          <w:p>
            <w:pPr/>
          </w:p>
        </w:tc>
      </w:tr>
      <w:tr>
        <w:tc>
          <w:tcPr/>
          <w:p>
            <w:pPr>
              <w:pStyle w:val="BodyText"/>
            </w:pPr>
            <w:r>
              <w:t xml:space="preserve">Procedimentos de resposta a incidentes</w:t>
            </w:r>
          </w:p>
        </w:tc>
        <w:tc>
          <w:tcPr>
            <w:gridSpan w:val="1"/>
            <w:vMerge w:val="continue"/>
          </w:tcPr>
          <w:p>
            <w:pPr/>
          </w:p>
        </w:tc>
        <w:tc>
          <w:tcPr>
            <w:gridSpan w:val="1"/>
            <w:vMerge w:val="continue"/>
          </w:tcPr>
          <w:p>
            <w:pPr/>
          </w:p>
        </w:tc>
      </w:tr>
      <w:tr>
        <w:tc>
          <w:tcPr/>
          <w:p>
            <w:pPr>
              <w:pStyle w:val="BodyText"/>
            </w:pPr>
            <w:r>
              <w:t xml:space="preserve">Incidentes</w:t>
            </w: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p>
            <w:pPr>
              <w:pStyle w:val="BodyText"/>
            </w:pPr>
            <w:r>
              <w:t xml:space="preserve">Avaliação do ativo de informações</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Ativos de informações</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p>
            <w:pPr>
              <w:pStyle w:val="BodyText"/>
            </w:pPr>
            <w:r>
              <w:t xml:space="preserve">Tipo de informações</w:t>
            </w:r>
          </w:p>
        </w:tc>
        <w:tc>
          <w:tcPr>
            <w:vMerge w:val="restart"/>
          </w:tcPr>
          <w:p>
            <w:pPr>
              <w:pStyle w:val="BodyText"/>
            </w:pPr>
            <w:r>
              <w:t xml:space="preserve">Avaliações e autorização</w:t>
            </w:r>
          </w:p>
          <w:p>
            <w:pPr>
              <w:pStyle w:val="BodyText"/>
            </w:pPr>
            <w:r>
              <w:t xml:space="preserve"> </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p>
            <w:pPr>
              <w:pStyle w:val="BodyText"/>
            </w:pPr>
            <w:r>
              <w:t xml:space="preserve">Interconexões</w:t>
            </w:r>
          </w:p>
        </w:tc>
        <w:tc>
          <w:tcPr>
            <w:gridSpan w:val="1"/>
            <w:vMerge w:val="continue"/>
          </w:tcPr>
          <w:p>
            <w:pPr/>
          </w:p>
        </w:tc>
        <w:tc>
          <w:tcPr>
            <w:gridSpan w:val="1"/>
            <w:vMerge w:val="continue"/>
          </w:tcPr>
          <w:p>
            <w:pPr/>
          </w:p>
        </w:tc>
      </w:tr>
      <w:tr>
        <w:tc>
          <w:tcPr/>
          <w:p>
            <w:pPr>
              <w:pStyle w:val="BodyText"/>
            </w:pPr>
            <w:r>
              <w:t xml:space="preserve">Consequências do Insight</w:t>
            </w:r>
          </w:p>
        </w:tc>
        <w:tc>
          <w:tcPr>
            <w:vMerge w:val="restart"/>
          </w:tcPr>
          <w:p>
            <w:pPr>
              <w:pStyle w:val="BodyText"/>
            </w:pPr>
            <w:r>
              <w:t xml:space="preserve">Archer Insight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hyperlink r:id="rId48">
              <w:r>
                <w:rPr>
                  <w:rStyle w:val="Hyperlink"/>
                </w:rPr>
                <w:t xml:space="preserve">Ajuda do Insight</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Probabilidade de controle do Insight</w:t>
            </w:r>
          </w:p>
        </w:tc>
        <w:tc>
          <w:tcPr>
            <w:gridSpan w:val="1"/>
            <w:vMerge w:val="continue"/>
          </w:tcPr>
          <w:p>
            <w:pPr/>
          </w:p>
        </w:tc>
        <w:tc>
          <w:tcPr>
            <w:gridSpan w:val="1"/>
            <w:vMerge w:val="continue"/>
          </w:tcPr>
          <w:p>
            <w:pPr/>
          </w:p>
        </w:tc>
      </w:tr>
      <w:tr>
        <w:tc>
          <w:tcPr/>
          <w:p>
            <w:pPr>
              <w:pStyle w:val="BodyText"/>
            </w:pPr>
            <w:r>
              <w:t xml:space="preserve">Probabilidade do fator motivador do Insight</w:t>
            </w:r>
          </w:p>
        </w:tc>
        <w:tc>
          <w:tcPr>
            <w:gridSpan w:val="1"/>
            <w:vMerge w:val="continue"/>
          </w:tcPr>
          <w:p>
            <w:pPr/>
          </w:p>
        </w:tc>
        <w:tc>
          <w:tcPr>
            <w:gridSpan w:val="1"/>
            <w:vMerge w:val="continue"/>
          </w:tcPr>
          <w:p>
            <w:pPr/>
          </w:p>
        </w:tc>
      </w:tr>
      <w:tr>
        <w:tc>
          <w:tcPr/>
          <w:p>
            <w:pPr>
              <w:pStyle w:val="BodyText"/>
            </w:pPr>
            <w:r>
              <w:t xml:space="preserve">Fatores motivadores do Insight</w:t>
            </w:r>
          </w:p>
        </w:tc>
        <w:tc>
          <w:tcPr>
            <w:gridSpan w:val="1"/>
            <w:vMerge w:val="continue"/>
          </w:tcPr>
          <w:p>
            <w:pPr/>
          </w:p>
        </w:tc>
        <w:tc>
          <w:tcPr>
            <w:gridSpan w:val="1"/>
            <w:vMerge w:val="continue"/>
          </w:tcPr>
          <w:p>
            <w:pPr/>
          </w:p>
        </w:tc>
      </w:tr>
      <w:tr>
        <w:tc>
          <w:tcPr/>
          <w:p>
            <w:pPr>
              <w:pStyle w:val="BodyText"/>
            </w:pPr>
            <w:r>
              <w:t xml:space="preserve">Evento de risco do Insight</w:t>
            </w:r>
          </w:p>
        </w:tc>
        <w:tc>
          <w:tcPr>
            <w:gridSpan w:val="1"/>
            <w:vMerge w:val="continue"/>
          </w:tcPr>
          <w:p>
            <w:pPr/>
          </w:p>
        </w:tc>
        <w:tc>
          <w:tcPr>
            <w:gridSpan w:val="1"/>
            <w:vMerge w:val="continue"/>
          </w:tcPr>
          <w:p>
            <w:pPr/>
          </w:p>
        </w:tc>
      </w:tr>
      <w:tr>
        <w:tc>
          <w:tcPr/>
          <w:p>
            <w:pPr>
              <w:pStyle w:val="BodyText"/>
            </w:pPr>
            <w:r>
              <w:t xml:space="preserve">Probabilidade de risco upstream do Insight</w:t>
            </w:r>
          </w:p>
        </w:tc>
        <w:tc>
          <w:tcPr>
            <w:gridSpan w:val="1"/>
            <w:vMerge w:val="continue"/>
          </w:tcPr>
          <w:p>
            <w:pPr/>
          </w:p>
        </w:tc>
        <w:tc>
          <w:tcPr>
            <w:gridSpan w:val="1"/>
            <w:vMerge w:val="continue"/>
          </w:tcPr>
          <w:p>
            <w:pPr/>
          </w:p>
        </w:tc>
      </w:tr>
      <w:tr>
        <w:tc>
          <w:tcPr/>
          <w:p>
            <w:pPr>
              <w:pStyle w:val="BodyText"/>
            </w:pPr>
            <w:r>
              <w:t xml:space="preserve">Seguros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Pesquisa do cliente da auditoria interna</w:t>
            </w:r>
          </w:p>
        </w:tc>
        <w:tc>
          <w:tcPr>
            <w:vMerge w:val="restart"/>
          </w:tcPr>
          <w:p>
            <w:pPr>
              <w:pStyle w:val="BodyText"/>
            </w:pPr>
            <w:r>
              <w:t xml:space="preserve">Planejamento e qualidade de auditorias</w:t>
            </w:r>
          </w:p>
        </w:tc>
        <w:tc>
          <w:tcPr>
            <w:vMerge w:val="restart"/>
          </w:tcPr>
          <w:p>
            <w:pPr>
              <w:pStyle w:val="BodyText"/>
            </w:pPr>
            <w:hyperlink r:id="rId26">
              <w:r>
                <w:rPr>
                  <w:rStyle w:val="Hyperlink"/>
                </w:rPr>
                <w:t xml:space="preserve">Ajuda do Gerenciamento de auditoria</w:t>
              </w:r>
            </w:hyperlink>
          </w:p>
        </w:tc>
      </w:tr>
      <w:tr>
        <w:tc>
          <w:tcPr/>
          <w:p>
            <w:pPr>
              <w:pStyle w:val="BodyText"/>
            </w:pPr>
            <w:r>
              <w:t xml:space="preserve">Revisão anual do departamento de auditoria interna</w:t>
            </w:r>
          </w:p>
        </w:tc>
        <w:tc>
          <w:tcPr>
            <w:gridSpan w:val="1"/>
            <w:vMerge w:val="continue"/>
          </w:tcPr>
          <w:p>
            <w:pPr/>
          </w:p>
        </w:tc>
        <w:tc>
          <w:tcPr>
            <w:gridSpan w:val="1"/>
            <w:vMerge w:val="continue"/>
          </w:tcPr>
          <w:p>
            <w:pPr/>
          </w:p>
        </w:tc>
      </w:tr>
      <w:tr>
        <w:tc>
          <w:tcPr/>
          <w:p>
            <w:pPr>
              <w:pStyle w:val="BodyText"/>
            </w:pPr>
            <w:r>
              <w:t xml:space="preserve">Lista de verificação da revisão de garantia de qualidade da auditoria interna</w:t>
            </w:r>
          </w:p>
        </w:tc>
        <w:tc>
          <w:tcPr>
            <w:gridSpan w:val="1"/>
            <w:vMerge w:val="continue"/>
          </w:tcPr>
          <w:p>
            <w:pPr/>
          </w:p>
        </w:tc>
        <w:tc>
          <w:tcPr>
            <w:gridSpan w:val="1"/>
            <w:vMerge w:val="continue"/>
          </w:tcPr>
          <w:p>
            <w:pPr/>
          </w:p>
        </w:tc>
      </w:tr>
      <w:tr>
        <w:tc>
          <w:tcPr/>
          <w:p>
            <w:pPr>
              <w:pStyle w:val="BodyText"/>
            </w:pPr>
            <w:r>
              <w:t xml:space="preserve">Investigações</w:t>
            </w: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p>
            <w:pPr>
              <w:pStyle w:val="BodyText"/>
            </w:pPr>
            <w:r>
              <w:t xml:space="preserve">ISMS</w:t>
            </w:r>
          </w:p>
        </w:tc>
        <w:tc>
          <w:tcPr>
            <w:vMerge w:val="restart"/>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Auditoria de ISMS</w:t>
            </w:r>
          </w:p>
        </w:tc>
        <w:tc>
          <w:tcPr>
            <w:gridSpan w:val="1"/>
            <w:vMerge w:val="continue"/>
          </w:tcPr>
          <w:p>
            <w:pPr/>
          </w:p>
        </w:tc>
        <w:tc>
          <w:tcPr>
            <w:gridSpan w:val="1"/>
            <w:vMerge w:val="continue"/>
          </w:tcPr>
          <w:p>
            <w:pPr/>
          </w:p>
        </w:tc>
      </w:tr>
      <w:tr>
        <w:tc>
          <w:tcPr/>
          <w:p>
            <w:pPr>
              <w:pStyle w:val="BodyText"/>
            </w:pPr>
            <w:r>
              <w:t xml:space="preserve">Controles de ISMS</w:t>
            </w:r>
          </w:p>
        </w:tc>
        <w:tc>
          <w:tcPr>
            <w:gridSpan w:val="1"/>
            <w:vMerge w:val="continue"/>
          </w:tcPr>
          <w:p>
            <w:pPr/>
          </w:p>
        </w:tc>
        <w:tc>
          <w:tcPr>
            <w:gridSpan w:val="1"/>
            <w:vMerge w:val="continue"/>
          </w:tcPr>
          <w:p>
            <w:pPr/>
          </w:p>
        </w:tc>
      </w:tr>
      <w:tr>
        <w:tc>
          <w:tcPr/>
          <w:p>
            <w:pPr>
              <w:pStyle w:val="BodyText"/>
            </w:pPr>
            <w:r>
              <w:t xml:space="preserve">Riscos de ISMS</w:t>
            </w:r>
          </w:p>
        </w:tc>
        <w:tc>
          <w:tcPr>
            <w:gridSpan w:val="1"/>
            <w:vMerge w:val="continue"/>
          </w:tcPr>
          <w:p>
            <w:pPr/>
          </w:p>
        </w:tc>
        <w:tc>
          <w:tcPr>
            <w:gridSpan w:val="1"/>
            <w:vMerge w:val="continue"/>
          </w:tcPr>
          <w:p>
            <w:pPr/>
          </w:p>
        </w:tc>
      </w:tr>
      <w:tr>
        <w:tc>
          <w:tcPr/>
          <w:p>
            <w:pPr>
              <w:pStyle w:val="BodyText"/>
            </w:pPr>
            <w:r>
              <w:t xml:space="preserve">Análise de gap da ISO 27001</w:t>
            </w:r>
          </w:p>
        </w:tc>
        <w:tc>
          <w:tcPr>
            <w:gridSpan w:val="1"/>
            <w:vMerge w:val="continue"/>
          </w:tcPr>
          <w:p>
            <w:pPr/>
          </w:p>
        </w:tc>
        <w:tc>
          <w:tcPr>
            <w:gridSpan w:val="1"/>
            <w:vMerge w:val="continue"/>
          </w:tcPr>
          <w:p>
            <w:pPr/>
          </w:p>
        </w:tc>
      </w:tr>
      <w:tr>
        <w:tc>
          <w:tcPr/>
          <w:p>
            <w:pPr>
              <w:pStyle w:val="BodyText"/>
            </w:pPr>
            <w:bookmarkStart w:id="55" w:name="L"/>
            <w:bookmarkEnd w:id="55"/>
            <w:r>
              <w:t xml:space="preserve"> </w:t>
            </w:r>
            <w:r>
              <w:t xml:space="preserve">Avaliação de Lições Aprendidas</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p>
            <w:pPr>
              <w:pStyle w:val="BodyText"/>
            </w:pPr>
            <w:r>
              <w:t xml:space="preserve">Avaliação de riscos baseada em localização</w:t>
            </w: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Impactos de evento de perda</w:t>
            </w:r>
          </w:p>
        </w:tc>
        <w:tc>
          <w:tcPr>
            <w:vMerge w:val="restart"/>
          </w:tcPr>
          <w:p>
            <w:pPr>
              <w:pStyle w:val="BodyText"/>
            </w:pPr>
            <w:r>
              <w:t xml:space="preserve">Loss Event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Eventos de perda</w:t>
            </w:r>
          </w:p>
        </w:tc>
        <w:tc>
          <w:tcPr>
            <w:gridSpan w:val="1"/>
            <w:vMerge w:val="continue"/>
          </w:tcPr>
          <w:p>
            <w:pPr/>
          </w:p>
        </w:tc>
        <w:tc>
          <w:tcPr>
            <w:gridSpan w:val="1"/>
            <w:vMerge w:val="continue"/>
          </w:tcPr>
          <w:p>
            <w:pPr/>
          </w:p>
        </w:tc>
      </w:tr>
      <w:tr>
        <w:tc>
          <w:tcPr>
            <w:vMerge w:val="restart"/>
          </w:tcPr>
          <w:p>
            <w:pPr>
              <w:pStyle w:val="BodyText"/>
            </w:pPr>
            <w:bookmarkStart w:id="56" w:name="M"/>
            <w:bookmarkEnd w:id="56"/>
            <w:r>
              <w:t xml:space="preserve"> </w:t>
            </w:r>
            <w:r>
              <w:t xml:space="preserve">Código Malicioso</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Gerenciamento tópicos relevantes</w:t>
            </w: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p>
            <w:pPr>
              <w:pStyle w:val="BodyText"/>
            </w:pPr>
            <w:r>
              <w:t xml:space="preserve">Contrato mestre de serviço</w:t>
            </w: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p>
            <w:pPr>
              <w:pStyle w:val="BodyText"/>
            </w:pPr>
            <w:r>
              <w:t xml:space="preserve">Questionário de identificação de tópicos relevantes</w:t>
            </w:r>
          </w:p>
        </w:tc>
        <w:tc>
          <w:tcPr/>
          <w:p>
            <w:pPr>
              <w:pStyle w:val="BodyText"/>
            </w:pPr>
            <w:r>
              <w:t xml:space="preserve">Gerenciamento de ESG</w:t>
            </w:r>
          </w:p>
          <w:p>
            <w:pPr>
              <w:pStyle w:val="BodyText"/>
            </w:pPr>
            <w:r>
              <w:t xml:space="preserve"> </w:t>
            </w:r>
          </w:p>
        </w:tc>
        <w:tc>
          <w:tcPr>
            <w:vMerge w:val="restart"/>
          </w:tcPr>
          <w:p>
            <w:pPr>
              <w:pStyle w:val="BodyText"/>
            </w:pPr>
            <w:hyperlink r:id="rId30">
              <w:r>
                <w:rPr>
                  <w:rStyle w:val="Hyperlink"/>
                </w:rPr>
                <w:t xml:space="preserve">Ajuda do Gerenciamento de ESG</w:t>
              </w:r>
            </w:hyperlink>
          </w:p>
        </w:tc>
      </w:tr>
      <w:tr>
        <w:tc>
          <w:tcPr>
            <w:vMerge w:val="restart"/>
          </w:tcPr>
          <w:p>
            <w:pPr>
              <w:pStyle w:val="BodyText"/>
            </w:pPr>
            <w:r>
              <w:t xml:space="preserve">Repositório de tópicos relevantes</w:t>
            </w:r>
          </w:p>
        </w:tc>
        <w:tc>
          <w:tcPr/>
          <w:p>
            <w:pPr>
              <w:pStyle w:val="BodyText"/>
            </w:pPr>
            <w:r>
              <w:t xml:space="preserve">Calculadora de dupla materialidade de ESG</w:t>
            </w:r>
          </w:p>
        </w:tc>
        <w:tc>
          <w:tcPr>
            <w:gridSpan w:val="1"/>
            <w:vMerge w:val="continue"/>
          </w:tcPr>
          <w:p>
            <w:pPr/>
          </w:p>
        </w:tc>
      </w:tr>
      <w:tr>
        <w:tc>
          <w:tcPr>
            <w:gridSpan w:val="1"/>
            <w:vMerge w:val="continue"/>
          </w:tcPr>
          <w:p>
            <w:pPr/>
          </w:p>
        </w:tc>
        <w:tc>
          <w:tcPr/>
          <w:p>
            <w:pPr>
              <w:pStyle w:val="BodyText"/>
            </w:pPr>
            <w:r>
              <w:t xml:space="preserve">Gerenciamento de ESG</w:t>
            </w:r>
          </w:p>
        </w:tc>
        <w:tc>
          <w:tcPr>
            <w:gridSpan w:val="1"/>
            <w:vMerge w:val="continue"/>
          </w:tcPr>
          <w:p>
            <w:pPr/>
          </w:p>
        </w:tc>
      </w:tr>
      <w:tr>
        <w:tc>
          <w:tcPr/>
          <w:p>
            <w:pPr>
              <w:pStyle w:val="BodyText"/>
            </w:pPr>
            <w:r>
              <w:t xml:space="preserve">Respostas do tópico relevante</w:t>
            </w:r>
          </w:p>
        </w:tc>
        <w:tc>
          <w:tcPr/>
          <w:p>
            <w:pPr>
              <w:pStyle w:val="BodyText"/>
            </w:pPr>
            <w:r>
              <w:t xml:space="preserve">Gerenciamento de ESG</w:t>
            </w:r>
          </w:p>
        </w:tc>
        <w:tc>
          <w:tcPr>
            <w:gridSpan w:val="1"/>
            <w:vMerge w:val="continue"/>
          </w:tcPr>
          <w:p>
            <w:pPr/>
          </w:p>
        </w:tc>
      </w:tr>
      <w:tr>
        <w:tc>
          <w:tcPr>
            <w:vMerge w:val="restart"/>
          </w:tcPr>
          <w:p>
            <w:pPr>
              <w:pStyle w:val="BodyText"/>
            </w:pPr>
            <w:r>
              <w:t xml:space="preserve">Campanha de avaliação de materialidade</w:t>
            </w:r>
          </w:p>
        </w:tc>
        <w:tc>
          <w:tcPr/>
          <w:p>
            <w:pPr>
              <w:pStyle w:val="BodyText"/>
            </w:pPr>
            <w:r>
              <w:t xml:space="preserve">Calculadora de dupla materialidade de ESG</w:t>
            </w:r>
          </w:p>
        </w:tc>
        <w:tc>
          <w:tcPr>
            <w:gridSpan w:val="1"/>
            <w:vMerge w:val="continue"/>
          </w:tcPr>
          <w:p>
            <w:pPr/>
          </w:p>
        </w:tc>
      </w:tr>
      <w:tr>
        <w:tc>
          <w:tcPr>
            <w:gridSpan w:val="1"/>
            <w:vMerge w:val="continue"/>
          </w:tcPr>
          <w:p>
            <w:pPr/>
          </w:p>
        </w:tc>
        <w:tc>
          <w:tcPr/>
          <w:p>
            <w:pPr>
              <w:pStyle w:val="BodyText"/>
            </w:pPr>
            <w:r>
              <w:t xml:space="preserve">Gerenciamento de ESG</w:t>
            </w:r>
          </w:p>
        </w:tc>
        <w:tc>
          <w:tcPr>
            <w:gridSpan w:val="1"/>
            <w:vMerge w:val="continue"/>
          </w:tcPr>
          <w:p>
            <w:pPr/>
          </w:p>
        </w:tc>
      </w:tr>
      <w:tr>
        <w:tc>
          <w:tcPr/>
          <w:p>
            <w:pPr>
              <w:pStyle w:val="BodyText"/>
            </w:pPr>
            <w:r>
              <w:t xml:space="preserve">Pesquisa de identificação do provedor de métricas</w:t>
            </w:r>
          </w:p>
        </w:tc>
        <w:tc>
          <w:tcPr/>
          <w:p>
            <w:pPr>
              <w:pStyle w:val="BodyText"/>
            </w:pPr>
            <w:r>
              <w:t xml:space="preserve">Gerenciamento de ESG</w:t>
            </w:r>
          </w:p>
        </w:tc>
        <w:tc>
          <w:tcPr>
            <w:gridSpan w:val="1"/>
            <w:vMerge w:val="continue"/>
          </w:tcPr>
          <w:p>
            <w:pPr/>
          </w:p>
        </w:tc>
      </w:tr>
      <w:tr>
        <w:tc>
          <w:tcPr/>
          <w:p>
            <w:pPr>
              <w:pStyle w:val="BodyText"/>
            </w:pPr>
            <w:r>
              <w:t xml:space="preserve">Métricas</w:t>
            </w:r>
          </w:p>
        </w:tc>
        <w:tc>
          <w:tcPr>
            <w:vMerge w:val="restart"/>
          </w:tcPr>
          <w:p>
            <w:pPr>
              <w:pStyle w:val="BodyText"/>
            </w:pPr>
            <w:r>
              <w:t xml:space="preserve">Key Indicator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Biblioteca de medidas</w:t>
            </w:r>
          </w:p>
        </w:tc>
        <w:tc>
          <w:tcPr>
            <w:gridSpan w:val="1"/>
            <w:vMerge w:val="continue"/>
          </w:tcPr>
          <w:p>
            <w:pPr/>
          </w:p>
        </w:tc>
        <w:tc>
          <w:tcPr>
            <w:gridSpan w:val="1"/>
            <w:vMerge w:val="continue"/>
          </w:tcPr>
          <w:p>
            <w:pPr/>
          </w:p>
        </w:tc>
      </w:tr>
      <w:tr>
        <w:tc>
          <w:tcPr/>
          <w:p>
            <w:pPr>
              <w:pStyle w:val="BodyText"/>
            </w:pPr>
            <w:r>
              <w:t xml:space="preserve">Resultados das medidas</w:t>
            </w:r>
          </w:p>
        </w:tc>
        <w:tc>
          <w:tcPr>
            <w:gridSpan w:val="1"/>
            <w:vMerge w:val="continue"/>
          </w:tcPr>
          <w:p>
            <w:pPr/>
          </w:p>
        </w:tc>
        <w:tc>
          <w:tcPr>
            <w:gridSpan w:val="1"/>
            <w:vMerge w:val="continue"/>
          </w:tcPr>
          <w:p>
            <w:pPr/>
          </w:p>
        </w:tc>
      </w:tr>
      <w:tr>
        <w:tc>
          <w:tcPr>
            <w:vMerge w:val="restart"/>
          </w:tcPr>
          <w:p>
            <w:pPr>
              <w:pStyle w:val="BodyText"/>
            </w:pPr>
            <w:r>
              <w:t xml:space="preserve">Marcos</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vMerge w:val="restart"/>
          </w:tcPr>
          <w:p>
            <w:pPr>
              <w:pStyle w:val="BodyText"/>
            </w:pPr>
            <w:r>
              <w:t xml:space="preserve">Gestão POA&amp;M</w:t>
            </w:r>
          </w:p>
        </w:tc>
        <w:tc>
          <w:tcPr>
            <w:gridSpan w:val="1"/>
            <w:vMerge w:val="continue"/>
          </w:tcPr>
          <w:p>
            <w:pPr/>
          </w:p>
        </w:tc>
      </w:tr>
      <w:tr>
        <w:tc>
          <w:tcPr/>
          <w:p>
            <w:pPr>
              <w:pStyle w:val="BodyText"/>
            </w:pPr>
            <w:r>
              <w:t xml:space="preserve">Missões</w:t>
            </w:r>
          </w:p>
        </w:tc>
        <w:tc>
          <w:tcPr>
            <w:gridSpan w:val="1"/>
            <w:vMerge w:val="continue"/>
          </w:tcPr>
          <w:p>
            <w:pPr/>
          </w:p>
        </w:tc>
        <w:tc>
          <w:tcPr>
            <w:gridSpan w:val="1"/>
            <w:vMerge w:val="continue"/>
          </w:tcPr>
          <w:p>
            <w:pPr/>
          </w:p>
        </w:tc>
      </w:tr>
      <w:tr>
        <w:tc>
          <w:tcPr/>
          <w:p>
            <w:pPr>
              <w:pStyle w:val="BodyText"/>
            </w:pPr>
            <w:r>
              <w:t xml:space="preserve">Certificação de modelo</w:t>
            </w:r>
          </w:p>
        </w:tc>
        <w:tc>
          <w:tcPr>
            <w:vMerge w:val="restart"/>
          </w:tcPr>
          <w:p>
            <w:pPr>
              <w:pStyle w:val="BodyText"/>
            </w:pPr>
            <w:r>
              <w:t xml:space="preserve">Governança de IA</w:t>
            </w:r>
          </w:p>
        </w:tc>
        <w:tc>
          <w:tcPr>
            <w:vMerge w:val="restart"/>
          </w:tcPr>
          <w:p>
            <w:pPr>
              <w:pStyle w:val="BodyText"/>
            </w:pPr>
            <w:r>
              <w:t xml:space="preserve">Ajuda de Governança de IA</w:t>
            </w:r>
          </w:p>
        </w:tc>
      </w:tr>
      <w:tr>
        <w:tc>
          <w:tcPr/>
          <w:p>
            <w:pPr>
              <w:pStyle w:val="BodyText"/>
            </w:pPr>
            <w:r>
              <w:t xml:space="preserve">Solicitações de alteração de modelo</w:t>
            </w:r>
          </w:p>
        </w:tc>
        <w:tc>
          <w:tcPr>
            <w:gridSpan w:val="1"/>
            <w:vMerge w:val="continue"/>
          </w:tcPr>
          <w:p>
            <w:pPr/>
          </w:p>
        </w:tc>
        <w:tc>
          <w:tcPr>
            <w:gridSpan w:val="1"/>
            <w:vMerge w:val="continue"/>
          </w:tcPr>
          <w:p>
            <w:pPr/>
          </w:p>
        </w:tc>
      </w:tr>
      <w:tr>
        <w:tc>
          <w:tcPr/>
          <w:p>
            <w:pPr>
              <w:pStyle w:val="BodyText"/>
            </w:pPr>
            <w:r>
              <w:t xml:space="preserve">Inventário de modelos</w:t>
            </w:r>
          </w:p>
        </w:tc>
        <w:tc>
          <w:tcPr>
            <w:gridSpan w:val="1"/>
            <w:vMerge w:val="continue"/>
          </w:tcPr>
          <w:p>
            <w:pPr/>
          </w:p>
        </w:tc>
        <w:tc>
          <w:tcPr>
            <w:gridSpan w:val="1"/>
            <w:vMerge w:val="continue"/>
          </w:tcPr>
          <w:p>
            <w:pPr/>
          </w:p>
        </w:tc>
      </w:tr>
      <w:tr>
        <w:tc>
          <w:tcPr/>
          <w:p>
            <w:pPr>
              <w:pStyle w:val="BodyText"/>
            </w:pPr>
            <w:r>
              <w:t xml:space="preserve">Validação do modelo</w:t>
            </w:r>
          </w:p>
        </w:tc>
        <w:tc>
          <w:tcPr>
            <w:gridSpan w:val="1"/>
            <w:vMerge w:val="continue"/>
          </w:tcPr>
          <w:p>
            <w:pPr/>
          </w:p>
        </w:tc>
        <w:tc>
          <w:tcPr>
            <w:gridSpan w:val="1"/>
            <w:vMerge w:val="continue"/>
          </w:tcPr>
          <w:p>
            <w:pPr/>
          </w:p>
        </w:tc>
      </w:tr>
      <w:tr>
        <w:tc>
          <w:tcPr/>
          <w:p>
            <w:pPr>
              <w:pStyle w:val="BodyText"/>
            </w:pPr>
            <w:bookmarkStart w:id="57" w:name="N"/>
            <w:bookmarkEnd w:id="57"/>
            <w:r>
              <w:t xml:space="preserve"> </w:t>
            </w:r>
            <w:r>
              <w:t xml:space="preserve">Biblioteca de Avisos e Consentimento</w:t>
            </w:r>
          </w:p>
        </w:tc>
        <w:tc>
          <w:tcPr/>
          <w:p>
            <w:pPr>
              <w:pStyle w:val="BodyText"/>
            </w:pPr>
            <w:r>
              <w:t xml:space="preserve">Governança de Dados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Histórico de notificações</w:t>
            </w:r>
          </w:p>
          <w:p>
            <w:pPr>
              <w:pStyle w:val="BodyText"/>
            </w:pPr>
            <w:r>
              <w:t xml:space="preserve"> </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Notificações e fluxogramas</w:t>
            </w:r>
          </w:p>
          <w:p>
            <w:pPr>
              <w:pStyle w:val="BodyText"/>
            </w:pPr>
            <w:r>
              <w:t xml:space="preserve"> </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bookmarkStart w:id="58" w:name="O"/>
            <w:bookmarkEnd w:id="58"/>
            <w:r>
              <w:t xml:space="preserve"> </w:t>
            </w:r>
            <w:r>
              <w:t xml:space="preserve">Escritório</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Pacote de teste de eficiência operacional</w:t>
            </w:r>
          </w:p>
        </w:tc>
        <w:tc>
          <w:tcPr/>
          <w:p>
            <w:pPr>
              <w:pStyle w:val="BodyText"/>
            </w:pPr>
            <w:r>
              <w:t xml:space="preserve">Monitoramento de controles financeiros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vMerge w:val="restart"/>
          </w:tcPr>
          <w:p>
            <w:pPr>
              <w:pStyle w:val="BodyText"/>
            </w:pPr>
            <w:r>
              <w:t xml:space="preserve">Resultados do teste operacional</w:t>
            </w:r>
          </w:p>
          <w:p>
            <w:pPr>
              <w:pStyle w:val="BodyText"/>
            </w:pPr>
            <w:r>
              <w:t xml:space="preserve"> </w:t>
            </w:r>
          </w:p>
        </w:tc>
        <w:tc>
          <w:tcPr/>
          <w:p>
            <w:pPr>
              <w:pStyle w:val="BodyText"/>
            </w:pPr>
            <w:r>
              <w:t xml:space="preserve">Gerenciamento do programa de garantia de controles</w:t>
            </w:r>
          </w:p>
        </w:tc>
        <w:tc>
          <w:tcPr>
            <w:gridSpan w:val="1"/>
            <w:vMerge w:val="continue"/>
          </w:tcPr>
          <w:p>
            <w:pPr/>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resiliência operacional</w:t>
            </w:r>
          </w:p>
        </w:tc>
        <w:tc>
          <w:tcPr>
            <w:vMerge w:val="restart"/>
          </w:tcPr>
          <w:p>
            <w:pPr>
              <w:pStyle w:val="BodyText"/>
            </w:pPr>
            <w:r>
              <w:t xml:space="preserve">Análise do cenário operacional</w:t>
            </w:r>
          </w:p>
        </w:tc>
        <w:tc>
          <w:tcPr>
            <w:vMerge w:val="restart"/>
          </w:tcPr>
          <w:p>
            <w:pPr>
              <w:pStyle w:val="BodyText"/>
            </w:pPr>
            <w:hyperlink r:id="rId38">
              <w:r>
                <w:rPr>
                  <w:rStyle w:val="Hyperlink"/>
                </w:rPr>
                <w:t xml:space="preserve">Gerenciamento de resiliência</w:t>
              </w:r>
            </w:hyperlink>
          </w:p>
          <w:p>
            <w:pPr>
              <w:pStyle w:val="BodyText"/>
            </w:pPr>
            <w:r>
              <w:t xml:space="preserve"> </w:t>
            </w:r>
          </w:p>
          <w:p>
            <w:pPr>
              <w:pStyle w:val="BodyText"/>
            </w:pPr>
            <w:r>
              <w:t xml:space="preserve"> </w:t>
            </w:r>
          </w:p>
        </w:tc>
      </w:tr>
      <w:tr>
        <w:tc>
          <w:tcPr/>
          <w:p>
            <w:pPr>
              <w:pStyle w:val="BodyText"/>
            </w:pPr>
            <w:r>
              <w:t xml:space="preserve">Análise do cenário operacional</w:t>
            </w:r>
          </w:p>
        </w:tc>
        <w:tc>
          <w:tcPr>
            <w:gridSpan w:val="1"/>
            <w:vMerge w:val="continue"/>
          </w:tcPr>
          <w:p>
            <w:pPr/>
          </w:p>
        </w:tc>
        <w:tc>
          <w:tcPr>
            <w:gridSpan w:val="1"/>
            <w:vMerge w:val="continue"/>
          </w:tcPr>
          <w:p>
            <w:pPr/>
          </w:p>
        </w:tc>
      </w:tr>
      <w:tr>
        <w:tc>
          <w:tcPr/>
          <w:p>
            <w:pPr>
              <w:pStyle w:val="BodyText"/>
            </w:pPr>
            <w:r>
              <w:t xml:space="preserve">Biblioteca do Cenário Operacional</w:t>
            </w:r>
          </w:p>
        </w:tc>
        <w:tc>
          <w:tcPr>
            <w:gridSpan w:val="1"/>
            <w:vMerge w:val="continue"/>
          </w:tcPr>
          <w:p>
            <w:pPr/>
          </w:p>
        </w:tc>
        <w:tc>
          <w:tcPr>
            <w:gridSpan w:val="1"/>
            <w:vMerge w:val="continue"/>
          </w:tcPr>
          <w:p>
            <w:pPr/>
          </w:p>
        </w:tc>
      </w:tr>
      <w:tr>
        <w:tc>
          <w:tcPr>
            <w:vMerge w:val="restart"/>
          </w:tcPr>
          <w:p>
            <w:pPr>
              <w:pStyle w:val="BodyText"/>
            </w:pPr>
            <w:bookmarkStart w:id="59" w:name="P"/>
            <w:bookmarkEnd w:id="59"/>
            <w:r>
              <w:t xml:space="preserve"> </w:t>
            </w:r>
            <w:r>
              <w:t xml:space="preserve">Patches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Solicitações de documentação PBC</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r>
              <w:t xml:space="preserve">Autoavaliação de PCI 3.2.1 (SAQ)</w:t>
            </w:r>
          </w:p>
        </w:tc>
        <w:tc>
          <w:tcPr>
            <w:vMerge w:val="restart"/>
          </w:tcPr>
          <w:p>
            <w:pPr>
              <w:pStyle w:val="BodyText"/>
            </w:pPr>
            <w:r>
              <w:t xml:space="preserve">Gerenciamento de PCI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Autoavaliação de PCI 4.0 (SAQ)</w:t>
            </w:r>
          </w:p>
        </w:tc>
        <w:tc>
          <w:tcPr>
            <w:gridSpan w:val="1"/>
            <w:vMerge w:val="continue"/>
          </w:tcPr>
          <w:p>
            <w:pPr/>
          </w:p>
        </w:tc>
        <w:tc>
          <w:tcPr>
            <w:gridSpan w:val="1"/>
            <w:vMerge w:val="continue"/>
          </w:tcPr>
          <w:p>
            <w:pPr/>
          </w:p>
        </w:tc>
      </w:tr>
      <w:tr>
        <w:tc>
          <w:tcPr/>
          <w:p>
            <w:pPr>
              <w:pStyle w:val="BodyText"/>
            </w:pPr>
            <w:r>
              <w:t xml:space="preserve">Controles de PCI</w:t>
            </w:r>
          </w:p>
        </w:tc>
        <w:tc>
          <w:tcPr>
            <w:gridSpan w:val="1"/>
            <w:vMerge w:val="continue"/>
          </w:tcPr>
          <w:p>
            <w:pPr/>
          </w:p>
        </w:tc>
        <w:tc>
          <w:tcPr>
            <w:gridSpan w:val="1"/>
            <w:vMerge w:val="continue"/>
          </w:tcPr>
          <w:p>
            <w:pPr/>
          </w:p>
        </w:tc>
      </w:tr>
      <w:tr>
        <w:tc>
          <w:tcPr>
            <w:vMerge w:val="restart"/>
          </w:tcPr>
          <w:p>
            <w:pPr>
              <w:pStyle w:val="BodyText"/>
            </w:pPr>
            <w:r>
              <w:t xml:space="preserve">Entidade do plano</w:t>
            </w:r>
          </w:p>
          <w:p>
            <w:pPr>
              <w:pStyle w:val="BodyText"/>
            </w:pPr>
            <w:r>
              <w:t xml:space="preserve"> </w:t>
            </w:r>
          </w:p>
        </w:tc>
        <w:tc>
          <w:tcPr/>
          <w:p>
            <w:pPr>
              <w:pStyle w:val="BodyText"/>
            </w:pPr>
            <w:r>
              <w:t xml:space="preserve">Projetos e documentação de auditoria</w:t>
            </w:r>
          </w:p>
        </w:tc>
        <w:tc>
          <w:tcPr>
            <w:vMerge w:val="restart"/>
          </w:tcPr>
          <w:p>
            <w:pPr>
              <w:pStyle w:val="BodyText"/>
            </w:pPr>
            <w:hyperlink r:id="rId26">
              <w:r>
                <w:rPr>
                  <w:rStyle w:val="Hyperlink"/>
                </w:rPr>
                <w:t xml:space="preserve">Ajuda do Gerenciamento de auditoria</w:t>
              </w:r>
            </w:hyperlink>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vMerge w:val="restart"/>
          </w:tcPr>
          <w:p>
            <w:pPr>
              <w:pStyle w:val="BodyText"/>
            </w:pPr>
            <w:r>
              <w:t xml:space="preserve">POA&amp;Ms</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Políticas</w:t>
            </w: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PPSM</w:t>
            </w: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vMerge w:val="restart"/>
          </w:tcPr>
          <w:p>
            <w:pPr>
              <w:pStyle w:val="BodyText"/>
            </w:pPr>
            <w:r>
              <w:t xml:space="preserve">Controles primários</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p>
            <w:pPr>
              <w:pStyle w:val="Compac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Gerenciamento de PCI</w:t>
            </w:r>
          </w:p>
        </w:tc>
        <w:tc>
          <w:tcPr>
            <w:gridSpan w:val="1"/>
            <w:vMerge w:val="continue"/>
          </w:tcPr>
          <w:p>
            <w:pPr/>
          </w:p>
        </w:tc>
      </w:tr>
      <w:tr>
        <w:tc>
          <w:tcPr>
            <w:vMerge w:val="restart"/>
          </w:tcPr>
          <w:p>
            <w:pPr>
              <w:pStyle w:val="BodyText"/>
            </w:pPr>
            <w:r>
              <w:t xml:space="preserve">Avaliação de impacto de privacidade</w:t>
            </w:r>
          </w:p>
          <w:p>
            <w:pPr>
              <w:pStyle w:val="BodyText"/>
            </w:pPr>
            <w:r>
              <w:t xml:space="preserve"> </w:t>
            </w:r>
          </w:p>
        </w:tc>
        <w:tc>
          <w:tcPr/>
          <w:p>
            <w:pPr>
              <w:pStyle w:val="BodyText"/>
            </w:pPr>
            <w:r>
              <w:t xml:space="preserve">Gerenciamento do programa de privacidade</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p>
            <w:pPr>
              <w:pStyle w:val="BodyText"/>
            </w:pPr>
            <w:r>
              <w:t xml:space="preserve">Funções e responsabilidades de privacidade</w:t>
            </w:r>
          </w:p>
        </w:tc>
        <w:tc>
          <w:tcPr/>
          <w:p>
            <w:pPr>
              <w:pStyle w:val="BodyText"/>
            </w:pPr>
            <w:r>
              <w:t xml:space="preserve">Governança dos dados</w:t>
            </w:r>
          </w:p>
        </w:tc>
        <w:tc>
          <w:tcPr/>
          <w:p>
            <w:pPr>
              <w:pStyle w:val="Compact"/>
            </w:pPr>
            <w:hyperlink r:id="rId36">
              <w:r>
                <w:rPr>
                  <w:rStyle w:val="Hyperlink"/>
                </w:rPr>
                <w:t xml:space="preserve">Ajuda de conformidade normativa e corporativa</w:t>
              </w:r>
            </w:hyperlink>
          </w:p>
        </w:tc>
      </w:tr>
      <w:tr>
        <w:tc>
          <w:tcPr/>
          <w:p>
            <w:pPr>
              <w:pStyle w:val="BodyText"/>
            </w:pPr>
            <w:r>
              <w:t xml:space="preserve">Análise de limite de privacidade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r>
              <w:t xml:space="preserve">Passo a passo de Narrativa de processo</w:t>
            </w:r>
          </w:p>
        </w:tc>
        <w:tc>
          <w:tcPr>
            <w:vMerge w:val="restart"/>
          </w:tcPr>
          <w:p>
            <w:pPr>
              <w:pStyle w:val="BodyText"/>
            </w:pPr>
            <w:r>
              <w:t xml:space="preserve">Monitoramento de controles financeiros</w:t>
            </w:r>
          </w:p>
        </w:tc>
        <w:tc>
          <w:tcPr>
            <w:vMerge w:val="restart"/>
          </w:tcPr>
          <w:p>
            <w:pPr>
              <w:pStyle w:val="Compact"/>
            </w:pPr>
            <w:hyperlink r:id="rId36">
              <w:r>
                <w:rPr>
                  <w:rStyle w:val="Hyperlink"/>
                </w:rPr>
                <w:t xml:space="preserve">Ajuda de conformidade normativa e corporativa</w:t>
              </w:r>
            </w:hyperlink>
          </w:p>
        </w:tc>
      </w:tr>
      <w:tr>
        <w:tc>
          <w:tcPr/>
          <w:p>
            <w:pPr>
              <w:pStyle w:val="BodyText"/>
            </w:pPr>
            <w:r>
              <w:t xml:space="preserve">Narrativas de processo</w:t>
            </w:r>
          </w:p>
        </w:tc>
        <w:tc>
          <w:tcPr>
            <w:gridSpan w:val="1"/>
            <w:vMerge w:val="continue"/>
          </w:tcPr>
          <w:p>
            <w:pPr/>
          </w:p>
        </w:tc>
        <w:tc>
          <w:tcPr>
            <w:gridSpan w:val="1"/>
            <w:vMerge w:val="continue"/>
          </w:tcPr>
          <w:p>
            <w:pPr/>
          </w:p>
        </w:tc>
      </w:tr>
      <w:tr>
        <w:tc>
          <w:tcPr/>
          <w:p>
            <w:pPr>
              <w:pStyle w:val="BodyText"/>
            </w:pPr>
            <w:r>
              <w:t xml:space="preserve">Atividades de processamento</w:t>
            </w:r>
          </w:p>
        </w:tc>
        <w:tc>
          <w:tcPr/>
          <w:p>
            <w:pPr>
              <w:pStyle w:val="BodyText"/>
            </w:pPr>
            <w:r>
              <w:t xml:space="preserve">Governança dos dados</w:t>
            </w:r>
          </w:p>
        </w:tc>
        <w:tc>
          <w:tcPr>
            <w:gridSpan w:val="1"/>
            <w:vMerge w:val="continue"/>
          </w:tcPr>
          <w:p>
            <w:pPr/>
          </w:p>
        </w:tc>
      </w:tr>
      <w:tr>
        <w:tc>
          <w:tcPr>
            <w:vMerge w:val="restart"/>
          </w:tcPr>
          <w:p>
            <w:pPr>
              <w:pStyle w:val="BodyText"/>
            </w:pPr>
            <w:r>
              <w:t xml:space="preserve">Produtos e serviços</w:t>
            </w:r>
          </w:p>
          <w:p>
            <w:pPr>
              <w:pStyle w:val="BodyText"/>
            </w:pPr>
            <w:r>
              <w:t xml:space="preserve"> </w:t>
            </w:r>
          </w:p>
          <w:p>
            <w:pPr>
              <w:pStyle w:val="BodyText"/>
            </w:pPr>
            <w:r>
              <w:t xml:space="preserve"> </w:t>
            </w:r>
          </w:p>
          <w:p>
            <w:pPr>
              <w:pStyle w:val="BodyText"/>
            </w:pPr>
            <w:r>
              <w:t xml:space="preserve"> </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Projeto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bookmarkStart w:id="60" w:name="Q"/>
            <w:bookmarkEnd w:id="60"/>
            <w:r>
              <w:t xml:space="preserve"> </w:t>
            </w:r>
            <w:r>
              <w:t xml:space="preserve">Certificação Financeira Trimestral - Empresa</w:t>
            </w: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Biblioteca de perguntas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tc>
      </w:tr>
      <w:tr>
        <w:tc>
          <w:tcPr>
            <w:gridSpan w:val="1"/>
            <w:vMerge w:val="continue"/>
          </w:tcPr>
          <w:p>
            <w:pPr/>
          </w:p>
        </w:tc>
        <w:tc>
          <w:tcPr/>
          <w:p>
            <w:pPr>
              <w:pStyle w:val="BodyText"/>
            </w:pPr>
            <w:r>
              <w:t xml:space="preserve">Garantia de controles de TI</w:t>
            </w:r>
          </w:p>
        </w:tc>
        <w:tc>
          <w:tcPr>
            <w:gridSpan w:val="1"/>
            <w:vMerge w:val="continue"/>
          </w:tcPr>
          <w:p>
            <w:pP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Gerenciamento de PCI</w:t>
            </w:r>
          </w:p>
        </w:tc>
        <w:tc>
          <w:tcPr>
            <w:gridSpan w:val="1"/>
            <w:vMerge w:val="continue"/>
          </w:tcPr>
          <w:p>
            <w:pPr/>
          </w:p>
        </w:tc>
      </w:tr>
      <w:tr>
        <w:tc>
          <w:tcPr>
            <w:gridSpan w:val="1"/>
            <w:vMerge w:val="continue"/>
          </w:tcPr>
          <w:p>
            <w:pPr/>
          </w:p>
        </w:tc>
        <w:tc>
          <w:tcPr/>
          <w:p>
            <w:pPr>
              <w:pStyle w:val="BodyText"/>
            </w:pPr>
            <w:r>
              <w:t xml:space="preserve">Projeto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bookmarkStart w:id="61" w:name="R"/>
            <w:bookmarkEnd w:id="61"/>
            <w:r>
              <w:t xml:space="preserve"> </w:t>
            </w:r>
            <w:r>
              <w:t xml:space="preserve">Estratégias de recuperação</w:t>
            </w:r>
          </w:p>
        </w:tc>
        <w:tc>
          <w:tcPr>
            <w:vMerge w:val="restart"/>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p>
            <w:pPr>
              <w:pStyle w:val="BodyText"/>
            </w:pPr>
            <w:r>
              <w:t xml:space="preserve">Tarefas de recuperação</w:t>
            </w:r>
          </w:p>
        </w:tc>
        <w:tc>
          <w:tcPr>
            <w:gridSpan w:val="1"/>
            <w:vMerge w:val="continue"/>
          </w:tcPr>
          <w:p>
            <w:pPr/>
          </w:p>
        </w:tc>
        <w:tc>
          <w:tcPr>
            <w:gridSpan w:val="1"/>
            <w:vMerge w:val="continue"/>
          </w:tcPr>
          <w:p>
            <w:pPr/>
          </w:p>
        </w:tc>
      </w:tr>
      <w:tr>
        <w:tc>
          <w:tcPr/>
          <w:p>
            <w:pPr>
              <w:pStyle w:val="BodyText"/>
            </w:pPr>
            <w:r>
              <w:t xml:space="preserve">Comunicações regulatórias</w:t>
            </w:r>
          </w:p>
        </w:tc>
        <w:tc>
          <w:tcPr/>
          <w:p>
            <w:pPr>
              <w:pStyle w:val="BodyText"/>
            </w:pPr>
            <w:r>
              <w:t xml:space="preserve">Gerenciamento do programa de privacidade</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p>
            <w:pPr>
              <w:pStyle w:val="BodyText"/>
            </w:pPr>
            <w:r>
              <w:t xml:space="preserve"> </w:t>
            </w:r>
          </w:p>
        </w:tc>
      </w:tr>
      <w:tr>
        <w:tc>
          <w:tcPr/>
          <w:p>
            <w:pPr>
              <w:pStyle w:val="BodyText"/>
            </w:pPr>
            <w:r>
              <w:t xml:space="preserve">Itens da inteligência normativa</w:t>
            </w:r>
          </w:p>
        </w:tc>
        <w:tc>
          <w:tcPr>
            <w:vMerge w:val="restart"/>
          </w:tcPr>
          <w:p>
            <w:pPr>
              <w:pStyle w:val="BodyText"/>
            </w:pPr>
            <w:r>
              <w:t xml:space="preserve">Gerenciamento de obrigações corporativas</w:t>
            </w:r>
          </w:p>
        </w:tc>
        <w:tc>
          <w:tcPr>
            <w:gridSpan w:val="1"/>
            <w:vMerge w:val="continue"/>
          </w:tcPr>
          <w:p>
            <w:pPr/>
          </w:p>
        </w:tc>
      </w:tr>
      <w:tr>
        <w:tc>
          <w:tcPr/>
          <w:p>
            <w:pPr>
              <w:pStyle w:val="BodyText"/>
            </w:pPr>
            <w:r>
              <w:t xml:space="preserve">Análise da inteligência normativa</w:t>
            </w:r>
          </w:p>
        </w:tc>
        <w:tc>
          <w:tcPr>
            <w:gridSpan w:val="1"/>
            <w:vMerge w:val="continue"/>
          </w:tcPr>
          <w:p>
            <w:pPr/>
          </w:p>
        </w:tc>
        <w:tc>
          <w:tcPr>
            <w:gridSpan w:val="1"/>
            <w:vMerge w:val="continue"/>
          </w:tcPr>
          <w:p>
            <w:pPr/>
          </w:p>
        </w:tc>
      </w:tr>
      <w:tr>
        <w:tc>
          <w:tcPr/>
          <w:p>
            <w:pPr>
              <w:pStyle w:val="BodyText"/>
            </w:pPr>
            <w:r>
              <w:t xml:space="preserve">Planos de remediação</w:t>
            </w: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p>
            <w:pPr>
              <w:pStyle w:val="BodyText"/>
            </w:pPr>
            <w:r>
              <w:t xml:space="preserve">Requisitos</w:t>
            </w:r>
          </w:p>
        </w:tc>
        <w:tc>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tc>
      </w:tr>
      <w:tr>
        <w:tc>
          <w:tcPr/>
          <w:p>
            <w:pPr>
              <w:pStyle w:val="BodyText"/>
            </w:pPr>
            <w:r>
              <w:t xml:space="preserve">Scorecard de resiliência</w:t>
            </w: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Registro de ameaça à resiliência</w:t>
            </w:r>
          </w:p>
          <w:p>
            <w:pPr>
              <w:pStyle w:val="BodyText"/>
            </w:pPr>
            <w:r>
              <w:t xml:space="preserve"> </w:t>
            </w:r>
          </w:p>
        </w:tc>
        <w:tc>
          <w:tcPr/>
          <w:p>
            <w:pPr>
              <w:pStyle w:val="BodyText"/>
            </w:pPr>
            <w:r>
              <w:t xml:space="preserve">Business Continuity &amp; IT Disaster Recovery Planning</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p>
            <w:pPr>
              <w:pStyle w:val="BodyText"/>
            </w:pPr>
            <w:r>
              <w:t xml:space="preserve">Procedimentos de resposta</w:t>
            </w:r>
          </w:p>
        </w:tc>
        <w:tc>
          <w:tcPr/>
          <w:p>
            <w:pPr>
              <w:pStyle w:val="BodyText"/>
            </w:pPr>
            <w:r>
              <w:t xml:space="preserve">Gerenciamento de incidentes</w:t>
            </w:r>
          </w:p>
        </w:tc>
        <w:tc>
          <w:tcPr>
            <w:gridSpan w:val="1"/>
            <w:vMerge w:val="continue"/>
          </w:tcPr>
          <w:p>
            <w:pPr/>
          </w:p>
        </w:tc>
      </w:tr>
      <w:tr>
        <w:tc>
          <w:tcPr/>
          <w:p>
            <w:pPr>
              <w:pStyle w:val="BodyText"/>
            </w:pPr>
            <w:r>
              <w:t xml:space="preserve">Agendamentos de retenção</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Aceitação de riscos</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Análise de riscos</w:t>
            </w: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da aprovação de riscos</w:t>
            </w:r>
          </w:p>
        </w:tc>
        <w:tc>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Avaliação de riscos</w:t>
            </w:r>
          </w:p>
          <w:p>
            <w:pPr>
              <w:pStyle w:val="BodyText"/>
            </w:pPr>
            <w:r>
              <w:t xml:space="preserve"> </w:t>
            </w:r>
          </w:p>
        </w:tc>
        <w:tc>
          <w:tcPr/>
          <w:p>
            <w:pPr>
              <w:pStyle w:val="BodyText"/>
            </w:pPr>
            <w:r>
              <w:t xml:space="preserve">Risk Assessment Management</w:t>
            </w:r>
          </w:p>
        </w:tc>
        <w:tc>
          <w:tcPr>
            <w:gridSpan w:val="1"/>
            <w:vMerge w:val="continue"/>
          </w:tcPr>
          <w:p>
            <w:pPr/>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Dados de avaliação de riscos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Gerador de risco</w:t>
            </w:r>
          </w:p>
          <w:p>
            <w:pPr>
              <w:pStyle w:val="BodyText"/>
            </w:pPr>
            <w:r>
              <w:t xml:space="preserve"> </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vMerge w:val="restart"/>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p>
            <w:pPr>
              <w:pStyle w:val="BodyText"/>
            </w:pPr>
            <w:r>
              <w:t xml:space="preserve"> </w:t>
            </w:r>
          </w:p>
        </w:tc>
      </w:tr>
      <w:tr>
        <w:tc>
          <w:tcPr/>
          <w:p>
            <w:pPr>
              <w:pStyle w:val="BodyText"/>
            </w:pPr>
            <w:r>
              <w:t xml:space="preserve">Hierarquia de riscos</w:t>
            </w:r>
          </w:p>
        </w:tc>
        <w:tc>
          <w:tcPr>
            <w:gridSpan w:val="1"/>
            <w:vMerge w:val="continue"/>
          </w:tcPr>
          <w:p>
            <w:pPr/>
          </w:p>
        </w:tc>
        <w:tc>
          <w:tcPr>
            <w:gridSpan w:val="1"/>
            <w:vMerge w:val="continue"/>
          </w:tcPr>
          <w:p>
            <w:pPr/>
          </w:p>
        </w:tc>
      </w:tr>
      <w:tr>
        <w:tc>
          <w:tcPr>
            <w:vMerge w:val="restart"/>
          </w:tcPr>
          <w:p>
            <w:pPr>
              <w:pStyle w:val="BodyText"/>
            </w:pPr>
            <w:r>
              <w:t xml:space="preserve">Projeto de risco</w:t>
            </w:r>
          </w:p>
          <w:p>
            <w:pPr>
              <w:pStyle w:val="BodyText"/>
            </w:pPr>
            <w:r>
              <w:t xml:space="preserve"> </w:t>
            </w:r>
          </w:p>
        </w:tc>
        <w:tc>
          <w:tcPr/>
          <w:p>
            <w:pPr>
              <w:pStyle w:val="BodyText"/>
            </w:pPr>
            <w:r>
              <w:t xml:space="preserve">Risk Assessment Management</w:t>
            </w:r>
          </w:p>
        </w:tc>
        <w:tc>
          <w:tcPr>
            <w:gridSpan w:val="1"/>
            <w:vMerge w:val="continue"/>
          </w:tcPr>
          <w:p>
            <w:pPr/>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Unidade de definição de escopo de riscos</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vMerge w:val="restart"/>
          </w:tcPr>
          <w:p>
            <w:pPr>
              <w:pStyle w:val="BodyText"/>
            </w:pPr>
            <w:r>
              <w:t xml:space="preserve">Declarações de risco</w:t>
            </w:r>
          </w:p>
          <w:p>
            <w:pPr>
              <w:pStyle w:val="BodyText"/>
            </w:pPr>
            <w:r>
              <w:t xml:space="preserve"> </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Riscos (anteriormente Registro de riscos)</w:t>
            </w:r>
          </w:p>
          <w:p>
            <w:pPr>
              <w:pStyle w:val="BodyText"/>
            </w:pPr>
            <w:r>
              <w:t xml:space="preserve"> </w:t>
            </w:r>
          </w:p>
          <w:p>
            <w:pPr>
              <w:pStyle w:val="BodyText"/>
            </w:pPr>
            <w:r>
              <w:t xml:space="preserve"> </w:t>
            </w:r>
          </w:p>
          <w:p>
            <w:pPr>
              <w:pStyle w:val="BodyText"/>
            </w:pPr>
            <w:r>
              <w:t xml:space="preserve"> </w:t>
            </w:r>
          </w:p>
        </w:tc>
        <w:tc>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Funções e responsabilidades</w:t>
            </w:r>
          </w:p>
          <w:p>
            <w:pPr>
              <w:pStyle w:val="BodyText"/>
            </w:pPr>
            <w:r>
              <w:t xml:space="preserve"> </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bookmarkStart w:id="62" w:name="S"/>
            <w:bookmarkEnd w:id="62"/>
            <w:r>
              <w:t xml:space="preserve"> </w:t>
            </w:r>
            <w:r>
              <w:t xml:space="preserve">Gerenciamento de scanner e sensor</w:t>
            </w:r>
          </w:p>
        </w:tc>
        <w:tc>
          <w:tcPr>
            <w:vMerge w:val="restart"/>
          </w:tcPr>
          <w:p>
            <w:pPr>
              <w:pStyle w:val="BodyText"/>
            </w:pPr>
            <w:r>
              <w:t xml:space="preserve">Monitoramento contínuo</w:t>
            </w:r>
          </w:p>
          <w:p>
            <w:pPr>
              <w:pStyle w:val="BodyText"/>
            </w:pPr>
            <w:r>
              <w:t xml:space="preserve"> </w:t>
            </w:r>
          </w:p>
          <w:p>
            <w:pPr>
              <w:pStyle w:val="BodyText"/>
            </w:pPr>
            <w:r>
              <w:t xml:space="preserve"> </w:t>
            </w:r>
          </w:p>
        </w:tc>
        <w:tc>
          <w:tcPr>
            <w:vMerge w:val="restart"/>
          </w:tcPr>
          <w:p>
            <w:pPr>
              <w:pStyle w:val="BodyText"/>
            </w:pPr>
            <w:hyperlink r:id="rId34">
              <w:r>
                <w:rPr>
                  <w:rStyle w:val="Hyperlink"/>
                </w:rPr>
                <w:t xml:space="preserve">Ajuda do setor público</w:t>
              </w:r>
            </w:hyperlink>
          </w:p>
          <w:p>
            <w:pPr>
              <w:pStyle w:val="BodyText"/>
            </w:pPr>
            <w:r>
              <w:t xml:space="preserve"> </w:t>
            </w:r>
          </w:p>
          <w:p>
            <w:pPr>
              <w:pStyle w:val="BodyText"/>
            </w:pPr>
            <w:r>
              <w:t xml:space="preserve"> </w:t>
            </w:r>
          </w:p>
        </w:tc>
      </w:tr>
      <w:tr>
        <w:tc>
          <w:tcPr/>
          <w:p>
            <w:pPr>
              <w:pStyle w:val="BodyText"/>
            </w:pPr>
            <w:r>
              <w:t xml:space="preserve">Resultados de scanner e sensor</w:t>
            </w:r>
          </w:p>
        </w:tc>
        <w:tc>
          <w:tcPr>
            <w:gridSpan w:val="1"/>
            <w:vMerge w:val="continue"/>
          </w:tcPr>
          <w:p>
            <w:pPr/>
          </w:p>
        </w:tc>
        <w:tc>
          <w:tcPr>
            <w:gridSpan w:val="1"/>
            <w:vMerge w:val="continue"/>
          </w:tcPr>
          <w:p>
            <w:pPr/>
          </w:p>
        </w:tc>
      </w:tr>
      <w:tr>
        <w:tc>
          <w:tcPr/>
          <w:p>
            <w:pPr>
              <w:pStyle w:val="BodyText"/>
            </w:pPr>
            <w:r>
              <w:t xml:space="preserve">Regras de scanner e sensor</w:t>
            </w:r>
          </w:p>
        </w:tc>
        <w:tc>
          <w:tcPr>
            <w:gridSpan w:val="1"/>
            <w:vMerge w:val="continue"/>
          </w:tcPr>
          <w:p>
            <w:pPr/>
          </w:p>
        </w:tc>
        <w:tc>
          <w:tcPr>
            <w:gridSpan w:val="1"/>
            <w:vMerge w:val="continue"/>
          </w:tcPr>
          <w:p>
            <w:pPr/>
          </w:p>
        </w:tc>
      </w:tr>
      <w:tr>
        <w:tc>
          <w:tcPr>
            <w:vMerge w:val="restart"/>
          </w:tcPr>
          <w:p>
            <w:pPr>
              <w:pStyle w:val="BodyText"/>
            </w:pPr>
            <w:r>
              <w:t xml:space="preserve">Resultados do cenário</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vMerge w:val="restart"/>
          </w:tcPr>
          <w:p>
            <w:pPr>
              <w:pStyle w:val="BodyText"/>
            </w:pPr>
            <w:r>
              <w:t xml:space="preserve">Unidades de definição de escopo</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Alertas de segurança</w:t>
            </w:r>
          </w:p>
        </w:tc>
        <w:tc>
          <w:tcPr>
            <w:vMerge w:val="restart"/>
          </w:tcPr>
          <w:p>
            <w:pPr>
              <w:pStyle w:val="BodyText"/>
            </w:pPr>
            <w:r>
              <w:t xml:space="preserve">Cyber Incident &amp; Breach Response</w:t>
            </w:r>
          </w:p>
        </w:tc>
        <w:tc>
          <w:tcPr>
            <w:gridSpan w:val="1"/>
            <w:vMerge w:val="continue"/>
          </w:tcPr>
          <w:p>
            <w:pPr/>
          </w:p>
        </w:tc>
      </w:tr>
      <w:tr>
        <w:tc>
          <w:tcPr/>
          <w:p>
            <w:pPr>
              <w:pStyle w:val="BodyText"/>
            </w:pPr>
            <w:r>
              <w:t xml:space="preserve">Controles de segurança</w:t>
            </w:r>
          </w:p>
        </w:tc>
        <w:tc>
          <w:tcPr>
            <w:gridSpan w:val="1"/>
            <w:vMerge w:val="continue"/>
          </w:tcPr>
          <w:p>
            <w:pPr/>
          </w:p>
        </w:tc>
        <w:tc>
          <w:tcPr>
            <w:gridSpan w:val="1"/>
            <w:vMerge w:val="continue"/>
          </w:tcPr>
          <w:p>
            <w:pPr/>
          </w:p>
        </w:tc>
      </w:tr>
      <w:tr>
        <w:tc>
          <w:tcPr/>
          <w:p>
            <w:pPr>
              <w:pStyle w:val="BodyText"/>
            </w:pPr>
            <w:r>
              <w:t xml:space="preserve">Eventos de segurança</w:t>
            </w:r>
          </w:p>
        </w:tc>
        <w:tc>
          <w:tcPr>
            <w:gridSpan w:val="1"/>
            <w:vMerge w:val="continue"/>
          </w:tcPr>
          <w:p>
            <w:pPr/>
          </w:p>
        </w:tc>
        <w:tc>
          <w:tcPr>
            <w:gridSpan w:val="1"/>
            <w:vMerge w:val="continue"/>
          </w:tcPr>
          <w:p>
            <w:pPr/>
          </w:p>
        </w:tc>
      </w:tr>
      <w:tr>
        <w:tc>
          <w:tcPr/>
          <w:p>
            <w:pPr>
              <w:pStyle w:val="BodyText"/>
            </w:pPr>
            <w:r>
              <w:t xml:space="preserve">Incidentes de segurança</w:t>
            </w:r>
          </w:p>
        </w:tc>
        <w:tc>
          <w:tcPr>
            <w:gridSpan w:val="1"/>
            <w:vMerge w:val="continue"/>
          </w:tcPr>
          <w:p>
            <w:pPr/>
          </w:p>
        </w:tc>
        <w:tc>
          <w:tcPr>
            <w:gridSpan w:val="1"/>
            <w:vMerge w:val="continue"/>
          </w:tcPr>
          <w:p>
            <w:pPr/>
          </w:p>
        </w:tc>
      </w:tr>
      <w:tr>
        <w:tc>
          <w:tcPr/>
          <w:p>
            <w:pPr>
              <w:pStyle w:val="BodyText"/>
            </w:pPr>
            <w:r>
              <w:t xml:space="preserve">Autoavaliação</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Resultados da interrupção no serviço</w:t>
            </w:r>
          </w:p>
        </w:tc>
        <w:tc>
          <w:tcPr>
            <w:vMerge w:val="restart"/>
          </w:tcPr>
          <w:p>
            <w:pPr>
              <w:pStyle w:val="BodyText"/>
            </w:pPr>
            <w:r>
              <w:t xml:space="preserve">Análise do cenário operacional</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p>
            <w:pPr>
              <w:pStyle w:val="BodyText"/>
            </w:pPr>
            <w:r>
              <w:t xml:space="preserve">Interrupções no serviço</w:t>
            </w:r>
          </w:p>
        </w:tc>
        <w:tc>
          <w:tcPr>
            <w:gridSpan w:val="1"/>
            <w:vMerge w:val="continue"/>
          </w:tcPr>
          <w:p>
            <w:pPr/>
          </w:p>
        </w:tc>
        <w:tc>
          <w:tcPr>
            <w:gridSpan w:val="1"/>
            <w:vMerge w:val="continue"/>
          </w:tcPr>
          <w:p>
            <w:pPr/>
          </w:p>
        </w:tc>
      </w:tr>
      <w:tr>
        <w:tc>
          <w:tcPr/>
          <w:p>
            <w:pPr>
              <w:pStyle w:val="BodyText"/>
            </w:pPr>
            <w:r>
              <w:t xml:space="preserve">Políticas do SOC</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Software</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Declaração de aplicabilidade</w:t>
            </w:r>
          </w:p>
        </w:tc>
        <w:tc>
          <w:tcPr/>
          <w:p>
            <w:pPr>
              <w:pStyle w:val="BodyText"/>
            </w:pPr>
            <w:r>
              <w:t xml:space="preserve">Sistema de monitoramento da segurança das informações</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Dispositivos de armazenamento</w:t>
            </w:r>
          </w:p>
        </w:tc>
        <w:tc>
          <w:tcPr/>
          <w:p>
            <w:pPr>
              <w:pStyle w:val="BodyText"/>
            </w:pPr>
            <w:r>
              <w:t xml:space="preserve">Governança de terceiros</w:t>
            </w:r>
          </w:p>
        </w:tc>
        <w:tc>
          <w:tcPr>
            <w:vMerge w:val="restart"/>
          </w:tcPr>
          <w:p>
            <w:pPr>
              <w:pStyle w:val="BodyText"/>
            </w:pPr>
            <w:hyperlink r:id="rId40">
              <w:r>
                <w:rPr>
                  <w:rStyle w:val="Hyperlink"/>
                </w:rPr>
                <w:t xml:space="preserve">Governança de terceiros</w:t>
              </w:r>
            </w:hyperlink>
          </w:p>
        </w:tc>
      </w:tr>
      <w:tr>
        <w:tc>
          <w:tcPr/>
          <w:p>
            <w:pPr>
              <w:pStyle w:val="BodyText"/>
            </w:pPr>
            <w:r>
              <w:t xml:space="preserve">Subcontratados</w:t>
            </w:r>
          </w:p>
        </w:tc>
        <w:tc>
          <w:tcPr/>
          <w:p>
            <w:pPr>
              <w:pStyle w:val="BodyText"/>
            </w:pPr>
            <w:r>
              <w:t xml:space="preserve">Projeto de terceiros</w:t>
            </w:r>
          </w:p>
        </w:tc>
        <w:tc>
          <w:tcPr>
            <w:gridSpan w:val="1"/>
            <w:vMerge w:val="continue"/>
          </w:tcPr>
          <w:p>
            <w:pPr/>
          </w:p>
        </w:tc>
      </w:tr>
      <w:tr>
        <w:tc>
          <w:tcPr>
            <w:vMerge w:val="restart"/>
          </w:tcPr>
          <w:p>
            <w:pPr>
              <w:pStyle w:val="BodyText"/>
            </w:pPr>
            <w:r>
              <w:t xml:space="preserve">Subsistemas</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Formulário de solicitação de fornecedor</w:t>
            </w:r>
          </w:p>
        </w:tc>
        <w:tc>
          <w:tcPr/>
          <w:p>
            <w:pPr>
              <w:pStyle w:val="BodyText"/>
            </w:pPr>
            <w:r>
              <w:t xml:space="preserve">Projeto de terceiros</w:t>
            </w:r>
          </w:p>
        </w:tc>
        <w:tc>
          <w:tcPr/>
          <w:p>
            <w:pPr>
              <w:pStyle w:val="Compact"/>
            </w:pPr>
            <w:hyperlink r:id="rId40">
              <w:r>
                <w:rPr>
                  <w:rStyle w:val="Hyperlink"/>
                </w:rPr>
                <w:t xml:space="preserve">Governança de terceiros</w:t>
              </w:r>
            </w:hyperlink>
          </w:p>
        </w:tc>
      </w:tr>
      <w:tr>
        <w:tc>
          <w:tcPr/>
          <w:p>
            <w:pPr>
              <w:pStyle w:val="BodyText"/>
            </w:pPr>
            <w:r>
              <w:t xml:space="preserve">Relatório de sustentabilidade</w:t>
            </w:r>
          </w:p>
        </w:tc>
        <w:tc>
          <w:tcPr/>
          <w:p>
            <w:pPr>
              <w:pStyle w:val="BodyText"/>
            </w:pPr>
            <w:r>
              <w:t xml:space="preserve">Relatórios de sustentabilidade</w:t>
            </w:r>
          </w:p>
        </w:tc>
        <w:tc>
          <w:tcPr/>
          <w:p>
            <w:pPr>
              <w:pStyle w:val="BodyText"/>
            </w:pPr>
            <w:hyperlink r:id="rId30">
              <w:r>
                <w:rPr>
                  <w:rStyle w:val="Hyperlink"/>
                </w:rPr>
                <w:t xml:space="preserve">Ajuda do Gerenciamento de ESG</w:t>
              </w:r>
            </w:hyperlink>
          </w:p>
        </w:tc>
      </w:tr>
      <w:tr>
        <w:tc>
          <w:tcPr/>
          <w:p>
            <w:pPr>
              <w:pStyle w:val="BodyText"/>
            </w:pPr>
            <w:r>
              <w:t xml:space="preserve">Sistema de aviso de registro (SORN)</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bookmarkStart w:id="63" w:name="T"/>
            <w:bookmarkEnd w:id="63"/>
            <w:r>
              <w:t xml:space="preserve"> </w:t>
            </w:r>
            <w:r>
              <w:t xml:space="preserve">Membros da equipe</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Equipes</w:t>
            </w:r>
          </w:p>
        </w:tc>
        <w:tc>
          <w:tcPr>
            <w:gridSpan w:val="1"/>
            <w:vMerge w:val="continue"/>
          </w:tcPr>
          <w:p>
            <w:pPr/>
          </w:p>
        </w:tc>
        <w:tc>
          <w:tcPr>
            <w:gridSpan w:val="1"/>
            <w:vMerge w:val="continue"/>
          </w:tcPr>
          <w:p>
            <w:pPr/>
          </w:p>
        </w:tc>
      </w:tr>
      <w:tr>
        <w:tc>
          <w:tcPr/>
          <w:p>
            <w:pPr>
              <w:pStyle w:val="BodyText"/>
            </w:pPr>
            <w:r>
              <w:t xml:space="preserve">Avaliação manual de controle técnico</w:t>
            </w:r>
          </w:p>
        </w:tc>
        <w:tc>
          <w:tcPr/>
          <w:p>
            <w:pPr>
              <w:pStyle w:val="BodyText"/>
            </w:pPr>
            <w:r>
              <w:t xml:space="preserve">Garantia de controles de TI</w:t>
            </w:r>
          </w:p>
        </w:tc>
        <w:tc>
          <w:tcPr>
            <w:gridSpan w:val="1"/>
            <w:vMerge w:val="continue"/>
          </w:tcPr>
          <w:p>
            <w:pPr/>
          </w:p>
        </w:tc>
      </w:tr>
      <w:tr>
        <w:tc>
          <w:tcPr>
            <w:vMerge w:val="restart"/>
          </w:tcPr>
          <w:p>
            <w:pPr>
              <w:pStyle w:val="BodyText"/>
            </w:pPr>
            <w:r>
              <w:t xml:space="preserve">Tecnologias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Testes/exercício</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p>
            <w:pPr>
              <w:pStyle w:val="BodyText"/>
            </w:pPr>
            <w:r>
              <w:t xml:space="preserve">Campanha de terceiros</w:t>
            </w:r>
          </w:p>
        </w:tc>
        <w:tc>
          <w:tcPr/>
          <w:p>
            <w:pPr>
              <w:pStyle w:val="BodyText"/>
            </w:pPr>
            <w:r>
              <w:t xml:space="preserve">Governança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Análises de contrato de terceiros</w:t>
            </w:r>
          </w:p>
        </w:tc>
        <w:tc>
          <w:tcPr/>
          <w:p>
            <w:pPr>
              <w:pStyle w:val="BodyText"/>
            </w:pPr>
            <w:r>
              <w:t xml:space="preserve">Projeto de terceiros</w:t>
            </w:r>
          </w:p>
        </w:tc>
        <w:tc>
          <w:tcPr>
            <w:gridSpan w:val="1"/>
            <w:vMerge w:val="continue"/>
          </w:tcPr>
          <w:p>
            <w:pPr/>
          </w:p>
        </w:tc>
      </w:tr>
      <w:tr>
        <w:tc>
          <w:tcPr/>
          <w:p>
            <w:pPr>
              <w:pStyle w:val="BodyText"/>
            </w:pPr>
            <w:r>
              <w:t xml:space="preserve">Repositório de documentos de terceiros</w:t>
            </w:r>
          </w:p>
        </w:tc>
        <w:tc>
          <w:tcPr>
            <w:vMerge w:val="restart"/>
          </w:tcPr>
          <w:p>
            <w:pPr>
              <w:pStyle w:val="BodyText"/>
            </w:pPr>
            <w:r>
              <w:t xml:space="preserve">Gerenciamento de riscos de terceiros</w:t>
            </w:r>
          </w:p>
        </w:tc>
        <w:tc>
          <w:tcPr>
            <w:gridSpan w:val="1"/>
            <w:vMerge w:val="continue"/>
          </w:tcPr>
          <w:p>
            <w:pPr/>
          </w:p>
        </w:tc>
      </w:tr>
      <w:tr>
        <w:tc>
          <w:tcPr/>
          <w:p>
            <w:pPr>
              <w:pStyle w:val="BodyText"/>
            </w:pPr>
            <w:r>
              <w:t xml:space="preserve">Avaliação de ESG de terceiros</w:t>
            </w:r>
          </w:p>
        </w:tc>
        <w:tc>
          <w:tcPr>
            <w:gridSpan w:val="1"/>
            <w:vMerge w:val="continue"/>
          </w:tcPr>
          <w:p>
            <w:pPr/>
          </w:p>
        </w:tc>
        <w:tc>
          <w:tcPr>
            <w:gridSpan w:val="1"/>
            <w:vMerge w:val="continue"/>
          </w:tcPr>
          <w:p>
            <w:pPr/>
          </w:p>
        </w:tc>
      </w:tr>
      <w:tr>
        <w:tc>
          <w:tcPr/>
          <w:p>
            <w:pPr>
              <w:pStyle w:val="BodyText"/>
            </w:pPr>
            <w:r>
              <w:t xml:space="preserve">Avaliações de viabilidade financeira de terceiros</w:t>
            </w:r>
          </w:p>
        </w:tc>
        <w:tc>
          <w:tcPr/>
          <w:p>
            <w:pPr>
              <w:pStyle w:val="BodyText"/>
            </w:pPr>
            <w:r>
              <w:t xml:space="preserve">Projeto de terceiros</w:t>
            </w:r>
          </w:p>
        </w:tc>
        <w:tc>
          <w:tcPr>
            <w:gridSpan w:val="1"/>
            <w:vMerge w:val="continue"/>
          </w:tcPr>
          <w:p>
            <w:pPr/>
          </w:p>
        </w:tc>
      </w:tr>
      <w:tr>
        <w:tc>
          <w:tcPr/>
          <w:p>
            <w:pPr>
              <w:pStyle w:val="BodyText"/>
            </w:pPr>
            <w:r>
              <w:t xml:space="preserve">Métricas de terceiros</w:t>
            </w:r>
          </w:p>
        </w:tc>
        <w:tc>
          <w:tcPr>
            <w:vMerge w:val="restart"/>
          </w:tcPr>
          <w:p>
            <w:pPr>
              <w:pStyle w:val="BodyText"/>
            </w:pPr>
            <w:r>
              <w:t xml:space="preserve">Governança de terceiros</w:t>
            </w:r>
          </w:p>
        </w:tc>
        <w:tc>
          <w:tcPr>
            <w:gridSpan w:val="1"/>
            <w:vMerge w:val="continue"/>
          </w:tcPr>
          <w:p>
            <w:pPr/>
          </w:p>
        </w:tc>
      </w:tr>
      <w:tr>
        <w:tc>
          <w:tcPr/>
          <w:p>
            <w:pPr>
              <w:pStyle w:val="BodyText"/>
            </w:pPr>
            <w:r>
              <w:t xml:space="preserve">Biblioteca de medidas de terceiros</w:t>
            </w:r>
          </w:p>
        </w:tc>
        <w:tc>
          <w:tcPr>
            <w:gridSpan w:val="1"/>
            <w:vMerge w:val="continue"/>
          </w:tcPr>
          <w:p>
            <w:pPr/>
          </w:p>
        </w:tc>
        <w:tc>
          <w:tcPr>
            <w:gridSpan w:val="1"/>
            <w:vMerge w:val="continue"/>
          </w:tcPr>
          <w:p>
            <w:pPr/>
          </w:p>
        </w:tc>
      </w:tr>
      <w:tr>
        <w:tc>
          <w:tcPr/>
          <w:p>
            <w:pPr>
              <w:pStyle w:val="BodyText"/>
            </w:pPr>
            <w:r>
              <w:t xml:space="preserve">Resultados de medidas de terceiros</w:t>
            </w:r>
          </w:p>
        </w:tc>
        <w:tc>
          <w:tcPr>
            <w:gridSpan w:val="1"/>
            <w:vMerge w:val="continue"/>
          </w:tcPr>
          <w:p>
            <w:pPr/>
          </w:p>
        </w:tc>
        <w:tc>
          <w:tcPr>
            <w:gridSpan w:val="1"/>
            <w:vMerge w:val="continue"/>
          </w:tcPr>
          <w:p>
            <w:pPr/>
          </w:p>
        </w:tc>
      </w:tr>
      <w:tr>
        <w:tc>
          <w:tcPr>
            <w:vMerge w:val="restart"/>
          </w:tcPr>
          <w:p>
            <w:pPr>
              <w:pStyle w:val="BodyText"/>
            </w:pPr>
            <w:r>
              <w:t xml:space="preserve">Perfil de terceiros</w:t>
            </w:r>
          </w:p>
          <w:p>
            <w:pPr>
              <w:pStyle w:val="BodyText"/>
            </w:pPr>
            <w:r>
              <w:t xml:space="preserve"> </w:t>
            </w: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Catálogo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p>
            <w:pPr>
              <w:pStyle w:val="BodyText"/>
            </w:pPr>
            <w:r>
              <w:t xml:space="preserve">Avaliação de resiliência de terceiros</w:t>
            </w:r>
          </w:p>
        </w:tc>
        <w:tc>
          <w:tcPr/>
          <w:p>
            <w:pPr>
              <w:pStyle w:val="BodyText"/>
            </w:pPr>
            <w:r>
              <w:t xml:space="preserve">Gerenciamento de riscos de terceiros</w:t>
            </w:r>
          </w:p>
        </w:tc>
        <w:tc>
          <w:tcPr>
            <w:gridSpan w:val="1"/>
            <w:vMerge w:val="continue"/>
          </w:tcPr>
          <w:p>
            <w:pPr/>
          </w:p>
        </w:tc>
      </w:tr>
      <w:tr>
        <w:tc>
          <w:tcPr/>
          <w:p>
            <w:pPr>
              <w:pStyle w:val="BodyText"/>
            </w:pPr>
            <w:r>
              <w:t xml:space="preserve">Avaliação de ameaças</w:t>
            </w:r>
          </w:p>
        </w:tc>
        <w:tc>
          <w:tcPr>
            <w:vMerge w:val="restart"/>
          </w:tcPr>
          <w:p>
            <w:pPr>
              <w:pStyle w:val="BodyText"/>
            </w:pPr>
            <w:r>
              <w:t xml:space="preserve">Gerenciamento de riscos de TI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Inteligência contra ameaças</w:t>
            </w:r>
          </w:p>
        </w:tc>
        <w:tc>
          <w:tcPr>
            <w:gridSpan w:val="1"/>
            <w:vMerge w:val="continue"/>
          </w:tcPr>
          <w:p>
            <w:pPr/>
          </w:p>
        </w:tc>
        <w:tc>
          <w:tcPr>
            <w:gridSpan w:val="1"/>
            <w:vMerge w:val="continue"/>
          </w:tcPr>
          <w:p>
            <w:pPr/>
          </w:p>
        </w:tc>
      </w:tr>
      <w:tr>
        <w:tc>
          <w:tcPr/>
          <w:p>
            <w:pPr>
              <w:pStyle w:val="BodyText"/>
            </w:pPr>
            <w:r>
              <w:t xml:space="preserve">Projeto de ameaças</w:t>
            </w:r>
          </w:p>
        </w:tc>
        <w:tc>
          <w:tcPr>
            <w:gridSpan w:val="1"/>
            <w:vMerge w:val="continue"/>
          </w:tcPr>
          <w:p>
            <w:pPr/>
          </w:p>
        </w:tc>
        <w:tc>
          <w:tcPr>
            <w:gridSpan w:val="1"/>
            <w:vMerge w:val="continue"/>
          </w:tcPr>
          <w:p>
            <w:pPr/>
          </w:p>
        </w:tc>
      </w:tr>
      <w:tr>
        <w:tc>
          <w:tcPr/>
          <w:p>
            <w:pPr>
              <w:pStyle w:val="BodyText"/>
            </w:pPr>
            <w:r>
              <w:t xml:space="preserve">Limites</w:t>
            </w: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p>
            <w:pPr>
              <w:pStyle w:val="BodyText"/>
            </w:pPr>
            <w:r>
              <w:t xml:space="preserve">Tarefas de cronograma</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vMerge w:val="restart"/>
          </w:tcPr>
          <w:p>
            <w:pPr>
              <w:pStyle w:val="BodyText"/>
            </w:pPr>
            <w:r>
              <w:t xml:space="preserve">Treinamento</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bookmarkStart w:id="64" w:name="U"/>
            <w:bookmarkEnd w:id="64"/>
            <w:r>
              <w:t xml:space="preserve"> </w:t>
            </w:r>
            <w:r>
              <w:t xml:space="preserve">Escala de utilidade</w:t>
            </w:r>
          </w:p>
        </w:tc>
        <w:tc>
          <w:tcPr/>
          <w:p>
            <w:pPr>
              <w:pStyle w:val="BodyText"/>
            </w:pPr>
            <w:r>
              <w:t xml:space="preserve">Archer Insight</w:t>
            </w:r>
          </w:p>
        </w:tc>
        <w:tc>
          <w:tcPr/>
          <w:p>
            <w:pPr>
              <w:pStyle w:val="BodyText"/>
            </w:pPr>
            <w:hyperlink r:id="rId48">
              <w:r>
                <w:rPr>
                  <w:rStyle w:val="Hyperlink"/>
                </w:rPr>
                <w:t xml:space="preserve">Ajuda do Insight</w:t>
              </w:r>
            </w:hyperlink>
          </w:p>
        </w:tc>
      </w:tr>
      <w:tr>
        <w:tc>
          <w:tcPr>
            <w:vMerge w:val="restart"/>
          </w:tcPr>
          <w:p>
            <w:pPr>
              <w:pStyle w:val="BodyText"/>
            </w:pPr>
            <w:bookmarkStart w:id="65" w:name="V"/>
            <w:bookmarkEnd w:id="65"/>
            <w:r>
              <w:t xml:space="preserve"> </w:t>
            </w:r>
            <w:r>
              <w:t xml:space="preserve">Dados históricos de vulnerabilidade</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Biblioteca de vulnerabilidades</w:t>
            </w:r>
          </w:p>
          <w:p>
            <w:pPr>
              <w:pStyle w:val="BodyText"/>
            </w:pPr>
            <w:r>
              <w:t xml:space="preserve"> </w:t>
            </w:r>
          </w:p>
        </w:tc>
        <w:tc>
          <w:tcPr/>
          <w:p>
            <w:pPr>
              <w:pStyle w:val="BodyText"/>
            </w:pPr>
            <w:r>
              <w:t xml:space="preserve">Monitoramento contínuo</w:t>
            </w:r>
          </w:p>
        </w:tc>
        <w:tc>
          <w:tcPr/>
          <w:p>
            <w:pPr>
              <w:pStyle w:val="Compac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Listas de referências de vulnerabilidade</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vMerge w:val="restart"/>
          </w:tcPr>
          <w:p>
            <w:pPr>
              <w:pStyle w:val="Compact"/>
            </w:pPr>
            <w:hyperlink r:id="rId32">
              <w:r>
                <w:rPr>
                  <w:rStyle w:val="Hyperlink"/>
                </w:rPr>
                <w:t xml:space="preserve">Ajuda do Gerenciamento de riscos de TI e segurança</w:t>
              </w:r>
            </w:hyperlink>
          </w:p>
        </w:tc>
      </w:tr>
      <w:tr>
        <w:tc>
          <w:tcPr/>
          <w:p>
            <w:pPr>
              <w:pStyle w:val="BodyText"/>
            </w:pPr>
            <w:r>
              <w:t xml:space="preserve">Definição de análise de vulnerabilidades</w:t>
            </w:r>
          </w:p>
        </w:tc>
        <w:tc>
          <w:tcPr>
            <w:vMerge w:val="restart"/>
          </w:tcPr>
          <w:p>
            <w:pPr>
              <w:pStyle w:val="BodyText"/>
            </w:pPr>
            <w:r>
              <w:t xml:space="preserve">Programa de vulnerabilidades de segurança de TI</w:t>
            </w:r>
          </w:p>
        </w:tc>
        <w:tc>
          <w:tcPr>
            <w:gridSpan w:val="1"/>
            <w:vMerge w:val="continue"/>
          </w:tcPr>
          <w:p>
            <w:pPr/>
          </w:p>
        </w:tc>
      </w:tr>
      <w:tr>
        <w:tc>
          <w:tcPr/>
          <w:p>
            <w:pPr>
              <w:pStyle w:val="BodyText"/>
            </w:pPr>
            <w:r>
              <w:t xml:space="preserve">Solicitações da análise de vulnerabilidades</w:t>
            </w:r>
          </w:p>
        </w:tc>
        <w:tc>
          <w:tcPr>
            <w:gridSpan w:val="1"/>
            <w:vMerge w:val="continue"/>
          </w:tcPr>
          <w:p>
            <w:pPr/>
          </w:p>
        </w:tc>
        <w:tc>
          <w:tcPr>
            <w:gridSpan w:val="1"/>
            <w:vMerge w:val="continue"/>
          </w:tcPr>
          <w:p>
            <w:pPr/>
          </w:p>
        </w:tc>
      </w:tr>
      <w:tr>
        <w:tc>
          <w:tcPr>
            <w:vMerge w:val="restart"/>
          </w:tcPr>
          <w:p>
            <w:pPr>
              <w:pStyle w:val="BodyText"/>
            </w:pPr>
            <w:r>
              <w:t xml:space="preserve">Resultados da análise de vulnerabilidades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Compact"/>
            </w:pPr>
            <w:hyperlink r:id="rId32">
              <w:r>
                <w:rPr>
                  <w:rStyle w:val="Hyperlink"/>
                </w:rPr>
                <w:t xml:space="preserve">Ajuda do Gerenciamento de riscos de TI e segurança</w:t>
              </w:r>
            </w:hyperlink>
          </w:p>
        </w:tc>
      </w:tr>
      <w:tr>
        <w:tc>
          <w:tcPr>
            <w:vMerge w:val="restart"/>
          </w:tcPr>
          <w:p>
            <w:pPr>
              <w:pStyle w:val="BodyText"/>
            </w:pPr>
            <w:r>
              <w:t xml:space="preserve">Tíquetes de vulnerabilidades</w:t>
            </w:r>
          </w:p>
          <w:p>
            <w:pPr>
              <w:pStyle w:val="BodyText"/>
            </w:pPr>
            <w:r>
              <w:t xml:space="preserve"> </w:t>
            </w:r>
          </w:p>
        </w:tc>
        <w:tc>
          <w:tcPr/>
          <w:p>
            <w:pPr>
              <w:pStyle w:val="BodyText"/>
            </w:pPr>
            <w:r>
              <w:t xml:space="preserve">Monitoramento contínuo</w:t>
            </w:r>
          </w:p>
        </w:tc>
        <w:tc>
          <w:tcPr/>
          <w:p>
            <w:pPr>
              <w:pStyle w:val="BodyText"/>
            </w:pPr>
            <w:r>
              <w:t xml:space="preserve"> </w:t>
            </w:r>
          </w:p>
        </w:tc>
      </w:tr>
      <w:tr>
        <w:tc>
          <w:tcPr>
            <w:gridSpan w:val="1"/>
            <w:vMerge w:val="continue"/>
          </w:tcPr>
          <w:p>
            <w:pPr/>
          </w:p>
        </w:tc>
        <w:tc>
          <w:tcPr/>
          <w:p>
            <w:pPr>
              <w:pStyle w:val="BodyText"/>
            </w:pPr>
            <w:r>
              <w:t xml:space="preserve">Programa de vulnerabilidades de segurança de TI</w:t>
            </w:r>
          </w:p>
        </w:tc>
        <w:tc>
          <w:tcPr/>
          <w:p>
            <w:pPr>
              <w:pStyle w:val="Compact"/>
            </w:pPr>
            <w:hyperlink r:id="rId32">
              <w:r>
                <w:rPr>
                  <w:rStyle w:val="Hyperlink"/>
                </w:rPr>
                <w:t xml:space="preserve">Ajuda do Gerenciamento de riscos de TI e segurança</w:t>
              </w:r>
            </w:hyperlink>
          </w:p>
        </w:tc>
      </w:tr>
      <w:tr>
        <w:tc>
          <w:tcPr/>
          <w:p>
            <w:pPr>
              <w:pStyle w:val="BodyText"/>
            </w:pPr>
            <w:bookmarkStart w:id="66" w:name="Z"/>
            <w:bookmarkEnd w:id="66"/>
            <w:r>
              <w:t xml:space="preserve"> </w:t>
            </w:r>
            <w:r>
              <w:t xml:space="preserve">Avaliação de vulnerabilidade de dia zero</w:t>
            </w: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bl>
    <w:bookmarkEnd w:id="67"/>
    <w:bookmarkStart w:id="70" w:name="Aplicativosdosistema"/>
    <w:p>
      <w:pPr>
        <w:pStyle w:val="Heading2"/>
      </w:pPr>
      <w:r>
        <w:t xml:space="preserve">Aplicativos do sistema</w:t>
      </w:r>
    </w:p>
    <w:p>
      <w:pPr>
        <w:pStyle w:val="FirstParagraph"/>
      </w:pPr>
      <w:r>
        <w:t xml:space="preserve">Dois aplicativos do sistema,</w:t>
      </w:r>
      <w:r>
        <w:t xml:space="preserve"> </w:t>
      </w:r>
      <w:hyperlink r:id="rId68">
        <w:r>
          <w:rPr>
            <w:rStyle w:val="Hyperlink"/>
          </w:rPr>
          <w:t xml:space="preserve">Gerenciamento de tarefas</w:t>
        </w:r>
      </w:hyperlink>
      <w:r>
        <w:t xml:space="preserve"> </w:t>
      </w:r>
      <w:r>
        <w:t xml:space="preserve">e</w:t>
      </w:r>
      <w:r>
        <w:t xml:space="preserve"> </w:t>
      </w:r>
      <w:hyperlink r:id="rId69">
        <w:r>
          <w:rPr>
            <w:rStyle w:val="Hyperlink"/>
          </w:rPr>
          <w:t xml:space="preserve">Reuniões</w:t>
        </w:r>
      </w:hyperlink>
      <w:r>
        <w:t xml:space="preserve">, estão inclusos em todas as implementações, independentemente de quais casos de uso da solução do Archer você tiver licenciado.</w:t>
      </w:r>
    </w:p>
    <w:bookmarkEnd w:id="70"/>
    <w:bookmarkStart w:id="72" w:name="Criandosoluções"/>
    <w:p>
      <w:pPr>
        <w:pStyle w:val="Heading2"/>
      </w:pPr>
      <w:r>
        <w:t xml:space="preserve">Criando soluções</w:t>
      </w:r>
    </w:p>
    <w:p>
      <w:pPr>
        <w:pStyle w:val="FirstParagraph"/>
      </w:pPr>
      <w:r>
        <w:t xml:space="preserve">Ao agrupar aplicativos em uma solução, você também pode buscá-los como uma única entidade, acessar apenas os relatórios deles na</w:t>
      </w:r>
      <w:r>
        <w:t xml:space="preserve"> </w:t>
      </w:r>
      <w:hyperlink r:id="rId71">
        <w:r>
          <w:rPr>
            <w:rStyle w:val="Hyperlink"/>
          </w:rPr>
          <w:t xml:space="preserve">Listagem de relatórios</w:t>
        </w:r>
      </w:hyperlink>
      <w:r>
        <w:t xml:space="preserve">e muito mais.</w:t>
      </w:r>
    </w:p>
    <w:p>
      <w:pPr>
        <w:pStyle w:val="BodyText"/>
      </w:pPr>
      <w:r>
        <w:t xml:space="preserve">Um aplicativo pode ser agrupado em várias soluções. Por exemplo, um aplicativo Contatos pode ser associado às soluções Vendor Management, Customer Relationship Management e Service Request. Agrupando um aplicativo com várias soluções, você pode reutilizar as mesmas informações para diversos fins.</w:t>
      </w:r>
    </w:p>
    <w:bookmarkEnd w:id="72"/>
    <w:bookmarkStart w:id="73" w:name="Aplicativossobdemanda"/>
    <w:p>
      <w:pPr>
        <w:pStyle w:val="Heading2"/>
      </w:pPr>
      <w:r>
        <w:t xml:space="preserve">Aplicativos sob demanda</w:t>
      </w:r>
    </w:p>
    <w:p>
      <w:pPr>
        <w:pStyle w:val="FirstParagraph"/>
      </w:pPr>
      <w:r>
        <w:t xml:space="preserve">Os ODAs (On-Demand Applications, aplicativos sob demanda) que são criados do zero para dar suporte a processos auxiliares. Um ODA permite que os administradores criem o próprio aplicativo configurável ou usem ofertas do</w:t>
      </w:r>
      <w:r>
        <w:t xml:space="preserve"> </w:t>
      </w:r>
      <w:r>
        <w:t xml:space="preserve">Archer Exchange</w:t>
      </w:r>
      <w:r>
        <w:t xml:space="preserve"> </w:t>
      </w:r>
      <w:r>
        <w:t xml:space="preserve">predefinidas, podendo aproveitar o workflow avançado, as notificações, a geração de relatórios, os recursos de controle de acesso e muito mais. Os ODAs não fazem parte das soluções e casos de uso padrão do</w:t>
      </w:r>
      <w:r>
        <w:t xml:space="preserve"> </w:t>
      </w:r>
      <w:r>
        <w:t xml:space="preserve">Archer</w:t>
      </w:r>
      <w:r>
        <w:t xml:space="preserve"> </w:t>
      </w:r>
      <w:r>
        <w:t xml:space="preserve">e exigem a licença adicional.</w:t>
      </w:r>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3" Target="../applications/app_building.htm" TargetMode="External" /><Relationship Type="http://schemas.openxmlformats.org/officeDocument/2006/relationships/hyperlink" Id="rId71" Target="../managementreporting/mgmtrpt_mrl_using.htm" TargetMode="External" /><Relationship Type="http://schemas.openxmlformats.org/officeDocument/2006/relationships/hyperlink" Id="rId22" Target="../questionnaires/quest_basics.htm" TargetMode="External" /><Relationship Type="http://schemas.openxmlformats.org/officeDocument/2006/relationships/hyperlink" Id="rId68" Target="../recordclassic/rec_classic_tasks_managing.htm" TargetMode="External" /><Relationship Type="http://schemas.openxmlformats.org/officeDocument/2006/relationships/hyperlink" Id="rId69" Target="../schedulemanagement/schdmgmt_basics.htm" TargetMode="External" /><Relationship Type="http://schemas.openxmlformats.org/officeDocument/2006/relationships/hyperlink" Id="rId24" Target="../workspacesdashboards/dshbrd_workspaces_dashboards.htm#workspaces" TargetMode="External" /><Relationship Type="http://schemas.openxmlformats.org/officeDocument/2006/relationships/hyperlink" Id="rId26" Target="https://help.archerirm.cloud/archer_suite_help/en-us/Content/PortalHome/SolutionsHome/am_basics_home.htm" TargetMode="External" /><Relationship Type="http://schemas.openxmlformats.org/officeDocument/2006/relationships/hyperlink" Id="rId38" Target="https://help.archerirm.cloud/archer_suite_help/en-us/Content/PortalHome/SolutionsHome/br_basics_home.htm" TargetMode="External" /><Relationship Type="http://schemas.openxmlformats.org/officeDocument/2006/relationships/hyperlink" Id="rId28" Target="https://help.archerirm.cloud/archer_suite_help/en-us/Content/PortalHome/SolutionsHome/eorm_basics_home.htm" TargetMode="External" /><Relationship Type="http://schemas.openxmlformats.org/officeDocument/2006/relationships/hyperlink" Id="rId30" Target="https://help.archerirm.cloud/archer_suite_help/en-us/Content/PortalHome/SolutionsHome/esg_basics_home.htm" TargetMode="External" /><Relationship Type="http://schemas.openxmlformats.org/officeDocument/2006/relationships/hyperlink" Id="rId32" Target="https://help.archerirm.cloud/archer_suite_help/en-us/Content/PortalHome/SolutionsHome/itsrm_basics_home.htm" TargetMode="External" /><Relationship Type="http://schemas.openxmlformats.org/officeDocument/2006/relationships/hyperlink" Id="rId34" Target="https://help.archerirm.cloud/archer_suite_help/en-us/Content/PortalHome/SolutionsHome/pubsec_basics_home.htm" TargetMode="External" /><Relationship Type="http://schemas.openxmlformats.org/officeDocument/2006/relationships/hyperlink" Id="rId36" Target="https://help.archerirm.cloud/archer_suite_help/en-us/Content/PortalHome/SolutionsHome/rccm_basics_home.htm" TargetMode="External" /><Relationship Type="http://schemas.openxmlformats.org/officeDocument/2006/relationships/hyperlink" Id="rId40" Target="https://help.archerirm.cloud/archer_suite_help/en-us/Content/PortalHome/SolutionsHome/tpg_basics_home.htm" TargetMode="External" /><Relationship Type="http://schemas.openxmlformats.org/officeDocument/2006/relationships/hyperlink" Id="rId44" Target="https://help.archerirm.cloud/archer_suite_help/en-us/Content/portal_home.htm" TargetMode="External" /><Relationship Type="http://schemas.openxmlformats.org/officeDocument/2006/relationships/hyperlink" Id="rId48" Target="https://help.archerirm.cloud/insight_61301/Content/Insight/archer_insight.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3" Target="../applications/app_building.htm" TargetMode="External" /><Relationship Type="http://schemas.openxmlformats.org/officeDocument/2006/relationships/hyperlink" Id="rId71" Target="../managementreporting/mgmtrpt_mrl_using.htm" TargetMode="External" /><Relationship Type="http://schemas.openxmlformats.org/officeDocument/2006/relationships/hyperlink" Id="rId22" Target="../questionnaires/quest_basics.htm" TargetMode="External" /><Relationship Type="http://schemas.openxmlformats.org/officeDocument/2006/relationships/hyperlink" Id="rId68" Target="../recordclassic/rec_classic_tasks_managing.htm" TargetMode="External" /><Relationship Type="http://schemas.openxmlformats.org/officeDocument/2006/relationships/hyperlink" Id="rId69" Target="../schedulemanagement/schdmgmt_basics.htm" TargetMode="External" /><Relationship Type="http://schemas.openxmlformats.org/officeDocument/2006/relationships/hyperlink" Id="rId24" Target="../workspacesdashboards/dshbrd_workspaces_dashboards.htm#workspaces" TargetMode="External" /><Relationship Type="http://schemas.openxmlformats.org/officeDocument/2006/relationships/hyperlink" Id="rId26" Target="https://help.archerirm.cloud/archer_suite_help/en-us/Content/PortalHome/SolutionsHome/am_basics_home.htm" TargetMode="External" /><Relationship Type="http://schemas.openxmlformats.org/officeDocument/2006/relationships/hyperlink" Id="rId38" Target="https://help.archerirm.cloud/archer_suite_help/en-us/Content/PortalHome/SolutionsHome/br_basics_home.htm" TargetMode="External" /><Relationship Type="http://schemas.openxmlformats.org/officeDocument/2006/relationships/hyperlink" Id="rId28" Target="https://help.archerirm.cloud/archer_suite_help/en-us/Content/PortalHome/SolutionsHome/eorm_basics_home.htm" TargetMode="External" /><Relationship Type="http://schemas.openxmlformats.org/officeDocument/2006/relationships/hyperlink" Id="rId30" Target="https://help.archerirm.cloud/archer_suite_help/en-us/Content/PortalHome/SolutionsHome/esg_basics_home.htm" TargetMode="External" /><Relationship Type="http://schemas.openxmlformats.org/officeDocument/2006/relationships/hyperlink" Id="rId32" Target="https://help.archerirm.cloud/archer_suite_help/en-us/Content/PortalHome/SolutionsHome/itsrm_basics_home.htm" TargetMode="External" /><Relationship Type="http://schemas.openxmlformats.org/officeDocument/2006/relationships/hyperlink" Id="rId34" Target="https://help.archerirm.cloud/archer_suite_help/en-us/Content/PortalHome/SolutionsHome/pubsec_basics_home.htm" TargetMode="External" /><Relationship Type="http://schemas.openxmlformats.org/officeDocument/2006/relationships/hyperlink" Id="rId36" Target="https://help.archerirm.cloud/archer_suite_help/en-us/Content/PortalHome/SolutionsHome/rccm_basics_home.htm" TargetMode="External" /><Relationship Type="http://schemas.openxmlformats.org/officeDocument/2006/relationships/hyperlink" Id="rId40" Target="https://help.archerirm.cloud/archer_suite_help/en-us/Content/PortalHome/SolutionsHome/tpg_basics_home.htm" TargetMode="External" /><Relationship Type="http://schemas.openxmlformats.org/officeDocument/2006/relationships/hyperlink" Id="rId44" Target="https://help.archerirm.cloud/archer_suite_help/en-us/Content/portal_home.htm" TargetMode="External" /><Relationship Type="http://schemas.openxmlformats.org/officeDocument/2006/relationships/hyperlink" Id="rId48" Target="https://help.archerirm.cloud/insight_61301/Content/Insight/archer_insigh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2025-02-19T20:06:46Z</dcterms:created>
  <dcterms:modified xsi:type="dcterms:W3CDTF">2025-02-19T20:06:46Z</dcterms:modified>
</cp:coreProperties>
</file>

<file path=docProps/custom.xml><?xml version="1.0" encoding="utf-8"?>
<Properties xmlns="http://schemas.openxmlformats.org/officeDocument/2006/custom-properties" xmlns:vt="http://schemas.openxmlformats.org/officeDocument/2006/docPropsVTypes"/>
</file>