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contas-de-usuário-1"/>
    <w:p>
      <w:pPr>
        <w:pStyle w:val="Heading1"/>
      </w:pPr>
      <w:bookmarkStart w:id="20" w:name="aanchor83"/>
      <w:bookmarkEnd w:id="20"/>
      <w:r>
        <w:t xml:space="preserve"> </w:t>
      </w:r>
      <w:r>
        <w:t xml:space="preserve">Contas de usuário</w:t>
      </w:r>
    </w:p>
    <w:p>
      <w:pPr>
        <w:pStyle w:val="FirstParagraph"/>
      </w:pPr>
      <w:r>
        <w:t xml:space="preserve">Todos os usuários da</w:t>
      </w:r>
      <w:r>
        <w:t xml:space="preserve"> </w:t>
      </w:r>
      <w:r>
        <w:t xml:space="preserve">Archer</w:t>
      </w:r>
      <w:r>
        <w:t xml:space="preserve"> </w:t>
      </w:r>
      <w:r>
        <w:t xml:space="preserve">devem ter uma conta para fazer log-on no sistema. Ao adicionar um usuário, considere o seguinte:</w:t>
      </w:r>
    </w:p>
    <w:p>
      <w:pPr>
        <w:pStyle w:val="Compact"/>
        <w:numPr>
          <w:ilvl w:val="0"/>
          <w:numId w:val="1001"/>
        </w:numPr>
      </w:pPr>
      <w:r>
        <w:t xml:space="preserve">O usuário será notificado sobre as informações de senha?</w:t>
      </w:r>
    </w:p>
    <w:p>
      <w:pPr>
        <w:pStyle w:val="Compact"/>
        <w:numPr>
          <w:ilvl w:val="0"/>
          <w:numId w:val="1001"/>
        </w:numPr>
      </w:pPr>
      <w:r>
        <w:t xml:space="preserve">O usuário será forçado a alterar a senha no próximo log-in?</w:t>
      </w:r>
    </w:p>
    <w:p>
      <w:pPr>
        <w:pStyle w:val="Compact"/>
        <w:numPr>
          <w:ilvl w:val="0"/>
          <w:numId w:val="1001"/>
        </w:numPr>
      </w:pPr>
      <w:r>
        <w:t xml:space="preserve">O usuário fala um idioma diferente do idioma padrão?</w:t>
      </w:r>
    </w:p>
    <w:p>
      <w:pPr>
        <w:pStyle w:val="Compact"/>
        <w:numPr>
          <w:ilvl w:val="0"/>
          <w:numId w:val="1001"/>
        </w:numPr>
      </w:pPr>
      <w:r>
        <w:t xml:space="preserve">O usuário requer um</w:t>
      </w:r>
      <w:r>
        <w:t xml:space="preserve"> </w:t>
      </w:r>
      <w:hyperlink r:id="rId21">
        <w:r>
          <w:rPr>
            <w:rStyle w:val="Hyperlink"/>
          </w:rPr>
          <w:t xml:space="preserve">parâmetro de segurança</w:t>
        </w:r>
      </w:hyperlink>
      <w:r>
        <w:t xml:space="preserve"> </w:t>
      </w:r>
      <w:r>
        <w:t xml:space="preserve">específico?</w:t>
      </w:r>
    </w:p>
    <w:p>
      <w:pPr>
        <w:pStyle w:val="Compact"/>
        <w:numPr>
          <w:ilvl w:val="0"/>
          <w:numId w:val="1001"/>
        </w:numPr>
      </w:pPr>
      <w:r>
        <w:t xml:space="preserve">Em quais</w:t>
      </w:r>
      <w:r>
        <w:t xml:space="preserve"> </w:t>
      </w:r>
      <w:hyperlink r:id="rId22">
        <w:r>
          <w:rPr>
            <w:rStyle w:val="Hyperlink"/>
          </w:rPr>
          <w:t xml:space="preserve">grupos</w:t>
        </w:r>
      </w:hyperlink>
      <w:r>
        <w:t xml:space="preserve"> </w:t>
      </w:r>
      <w:r>
        <w:t xml:space="preserve">o usuário deve estar inscrito e quais</w:t>
      </w:r>
      <w:r>
        <w:t xml:space="preserve"> </w:t>
      </w:r>
      <w:hyperlink r:id="rId23">
        <w:r>
          <w:rPr>
            <w:rStyle w:val="Hyperlink"/>
          </w:rPr>
          <w:t xml:space="preserve">funções de acesso</w:t>
        </w:r>
      </w:hyperlink>
      <w:r>
        <w:t xml:space="preserve"> </w:t>
      </w:r>
      <w:r>
        <w:t xml:space="preserve">devem ser atribuídas à conta do usuário?</w:t>
      </w:r>
    </w:p>
    <w:p>
      <w:pPr>
        <w:pStyle w:val="FirstParagraph"/>
      </w:pPr>
      <w:r>
        <w:t xml:space="preserve">Certifique-se de que os usuários estejam aprovados para fazer log-in no sistema antes de criar uma conta para eles. Mesmo quando os usuários estão aprovados, atribua apenas o conjunto mínimo de permissões de acesso que permita aos usuários realizar o trabalho.</w:t>
      </w:r>
    </w:p>
    <w:p>
      <w:pPr>
        <w:pStyle w:val="BodyText"/>
      </w:pPr>
      <w:r>
        <w:t xml:space="preserve">Para obter instruções sobre como criar uma nova conta de usuário, consulte</w:t>
      </w:r>
      <w:r>
        <w:t xml:space="preserve"> </w:t>
      </w:r>
      <w:hyperlink r:id="rId24">
        <w:r>
          <w:rPr>
            <w:rStyle w:val="Hyperlink"/>
          </w:rPr>
          <w:t xml:space="preserve">Adicionando Contas do Usuário</w:t>
        </w:r>
      </w:hyperlink>
      <w:r>
        <w:t xml:space="preserve">.</w:t>
      </w:r>
    </w:p>
    <w:p>
      <w:pPr>
        <w:pStyle w:val="BodyText"/>
      </w:pPr>
      <w:r>
        <w:t xml:space="preserve">Para obter instruções sobre como atribuir funções de acesso a uma conta, consulte</w:t>
      </w:r>
      <w:r>
        <w:t xml:space="preserve"> </w:t>
      </w:r>
      <w:hyperlink r:id="rId25">
        <w:r>
          <w:rPr>
            <w:rStyle w:val="Hyperlink"/>
          </w:rPr>
          <w:t xml:space="preserve">Atribuindo Funções de Acesso aos Usuários</w:t>
        </w:r>
      </w:hyperlink>
      <w:r>
        <w:t xml:space="preserve">.</w:t>
      </w:r>
    </w:p>
    <w:p>
      <w:pPr>
        <w:pStyle w:val="BodyText"/>
      </w:pPr>
      <w:r>
        <w:t xml:space="preserve">Nesta página</w:t>
      </w:r>
    </w:p>
    <w:p>
      <w:pPr>
        <w:pStyle w:val="Compact"/>
        <w:numPr>
          <w:ilvl w:val="0"/>
          <w:numId w:val="1002"/>
        </w:numPr>
      </w:pPr>
      <w:hyperlink w:anchor="Xc2260a680380908f92d34cad68883ad02acf2ff">
        <w:r>
          <w:rPr>
            <w:rStyle w:val="Hyperlink"/>
          </w:rPr>
          <w:t xml:space="preserve">Contas de administrador do sistema e serviços padrão</w:t>
        </w:r>
      </w:hyperlink>
    </w:p>
    <w:p>
      <w:pPr>
        <w:pStyle w:val="Compact"/>
        <w:numPr>
          <w:ilvl w:val="1"/>
          <w:numId w:val="1003"/>
        </w:numPr>
      </w:pPr>
      <w:hyperlink w:anchor="Contadeservi%C3%A7odofeeddedados">
        <w:r>
          <w:rPr>
            <w:rStyle w:val="Hyperlink"/>
          </w:rPr>
          <w:t xml:space="preserve">Conta de serviço do feed de dados</w:t>
        </w:r>
      </w:hyperlink>
    </w:p>
    <w:p>
      <w:pPr>
        <w:pStyle w:val="Compact"/>
        <w:numPr>
          <w:ilvl w:val="0"/>
          <w:numId w:val="1002"/>
        </w:numPr>
      </w:pPr>
      <w:hyperlink w:anchor="Xd585758e423d192901fced47d1b7ca52346358b">
        <w:r>
          <w:rPr>
            <w:rStyle w:val="Hyperlink"/>
          </w:rPr>
          <w:t xml:space="preserve">Nova conta de usuário com privilégios de administrador do sistema</w:t>
        </w:r>
      </w:hyperlink>
    </w:p>
    <w:p>
      <w:pPr>
        <w:pStyle w:val="Compact"/>
        <w:numPr>
          <w:ilvl w:val="0"/>
          <w:numId w:val="1002"/>
        </w:numPr>
      </w:pPr>
      <w:hyperlink w:anchor="Senhasdacontadousu%C3%A1rio">
        <w:r>
          <w:rPr>
            <w:rStyle w:val="Hyperlink"/>
          </w:rPr>
          <w:t xml:space="preserve">Senhas da conta do usuário</w:t>
        </w:r>
      </w:hyperlink>
    </w:p>
    <w:p>
      <w:pPr>
        <w:pStyle w:val="Compact"/>
        <w:numPr>
          <w:ilvl w:val="0"/>
          <w:numId w:val="1002"/>
        </w:numPr>
      </w:pPr>
      <w:hyperlink w:anchor="Redefini%C3%A7%C3%A3odesenha">
        <w:r>
          <w:rPr>
            <w:rStyle w:val="Hyperlink"/>
          </w:rPr>
          <w:t xml:space="preserve">Redefinição de senha</w:t>
        </w:r>
      </w:hyperlink>
    </w:p>
    <w:bookmarkStart w:id="28" w:name="X868e7647a2a1951341e9e06c3d4dd17edff18fe"/>
    <w:p>
      <w:pPr>
        <w:pStyle w:val="Heading2"/>
      </w:pPr>
      <w:r>
        <w:t xml:space="preserve">Contas de administrador do sistema e serviços padrão</w:t>
      </w:r>
    </w:p>
    <w:p>
      <w:pPr>
        <w:pStyle w:val="FirstParagraph"/>
      </w:pPr>
      <w:r>
        <w:t xml:space="preserve">O processo de instalação do</w:t>
      </w:r>
      <w:r>
        <w:t xml:space="preserve"> </w:t>
      </w:r>
      <w:r>
        <w:t xml:space="preserve">Archer</w:t>
      </w:r>
      <w:r>
        <w:t xml:space="preserve"> </w:t>
      </w:r>
      <w:r>
        <w:t xml:space="preserve">cria automaticamente uma conta de administrador do sistema (sysadmin) e uma série de contas de serviços padrão. Essas contas estão configuradas no Painel de controle do Archer (ACP). Você não pode excluir nem renomear essas contas, mas pode desativar a conta de administrador do sistema. Os usuários não podem entrar no</w:t>
      </w:r>
      <w:r>
        <w:t xml:space="preserve"> </w:t>
      </w:r>
      <w:r>
        <w:t xml:space="preserve">Archer</w:t>
      </w:r>
      <w:r>
        <w:t xml:space="preserve"> </w:t>
      </w:r>
      <w:r>
        <w:t xml:space="preserve">com uma conta de serviços padrão. Os campos de registro de histórico exibem alterações de campo feitas por usuários do serviço de feed de dados. Associar uma conta de serviço de feed de dados exclusiva a cada feed esclarece qual feed de dados aplicou a atualização.</w:t>
      </w:r>
    </w:p>
    <w:p>
      <w:pPr>
        <w:pStyle w:val="BodyText"/>
      </w:pPr>
      <w:r>
        <w:t xml:space="preserve">Uma conta de usuário com privilégios de administrador do sistema não igual à conta de administrador do sistema. Ela não pode, por exemplo, ver a conta de administrador do sistema nem alterar sua senha. Somente alguém que tem acesso à conta de administrador do sistema pode gerenciá-la. Consulte</w:t>
      </w:r>
      <w:r>
        <w:t xml:space="preserve"> </w:t>
      </w:r>
      <w:hyperlink r:id="rId26">
        <w:r>
          <w:rPr>
            <w:rStyle w:val="Hyperlink"/>
          </w:rPr>
          <w:t xml:space="preserve">Entendendo as senhas das contas de administrador do sistema e de serviços padrão</w:t>
        </w:r>
      </w:hyperlink>
      <w:r>
        <w:t xml:space="preserve"> </w:t>
      </w:r>
      <w:r>
        <w:t xml:space="preserve">para obter mais informações.</w:t>
      </w:r>
    </w:p>
    <w:bookmarkStart w:id="27" w:name="Contadeserviçodofeeddedados"/>
    <w:p>
      <w:pPr>
        <w:pStyle w:val="Heading3"/>
      </w:pPr>
      <w:r>
        <w:t xml:space="preserve">Conta de serviço do feed de dados</w:t>
      </w:r>
    </w:p>
    <w:p>
      <w:pPr>
        <w:pStyle w:val="FirstParagraph"/>
      </w:pPr>
      <w:r>
        <w:t xml:space="preserve">Uma conta de serviço de feed de dados é uma conta que o sistema usa especificamente para executar um feed de dados. O usuário da conta de serviço também cria e atualiza conteúdo em um feed de dados. Ao configurar um feed de dados, os usuários podem escolher uma conta de serviço existente ou criar uma nova conta de serviço. Os usuários podem usar a mesma conta de serviço para executar cada feed de dados, mas para fins de solução de problemas, configure contas de serviço diferentes para cada feed de dados. Os usuários não podem entrar no</w:t>
      </w:r>
      <w:r>
        <w:t xml:space="preserve"> </w:t>
      </w:r>
      <w:r>
        <w:t xml:space="preserve">Archer</w:t>
      </w:r>
      <w:r>
        <w:t xml:space="preserve"> </w:t>
      </w:r>
      <w:r>
        <w:t xml:space="preserve">com uma conta de serviço de feed de dados. Os campos de registro de histórico exibem alterações de campo feitas por usuários do serviço de feed de dados. Associar uma conta de serviço de feed de dados exclusiva a cada feed esclarece qual feed de dados aplicou a atualização.</w:t>
      </w:r>
    </w:p>
    <w:bookmarkEnd w:id="27"/>
    <w:bookmarkEnd w:id="28"/>
    <w:bookmarkStart w:id="29" w:name="X5ec9701842c8bf23d66cd39ba8fc24a7f512146"/>
    <w:p>
      <w:pPr>
        <w:pStyle w:val="Heading2"/>
      </w:pPr>
      <w:r>
        <w:t xml:space="preserve">Nova conta de usuário com privilégios de administrador do sistema</w:t>
      </w:r>
    </w:p>
    <w:p>
      <w:pPr>
        <w:pStyle w:val="FirstParagraph"/>
      </w:pPr>
      <w:r>
        <w:t xml:space="preserve">É recomendável que você crie uma nova conta de usuário, com acesso completo ao sistema, e atribua a ela a função de acesso de Administrador do sistema. Essa função de acesso confere à conta todos os direitos dentro do</w:t>
      </w:r>
      <w:r>
        <w:t xml:space="preserve"> </w:t>
      </w:r>
      <w:r>
        <w:t xml:space="preserve">Archer</w:t>
      </w:r>
      <w:r>
        <w:t xml:space="preserve">.</w:t>
      </w:r>
    </w:p>
    <w:bookmarkEnd w:id="29"/>
    <w:bookmarkStart w:id="30" w:name="Senhasdacontadousuário"/>
    <w:p>
      <w:pPr>
        <w:pStyle w:val="Heading2"/>
      </w:pPr>
      <w:r>
        <w:t xml:space="preserve">Senhas da conta do usuário</w:t>
      </w:r>
    </w:p>
    <w:p>
      <w:pPr>
        <w:pStyle w:val="FirstParagraph"/>
      </w:pPr>
      <w:r>
        <w:t xml:space="preserve">Todas as novas contas de usuário são criadas com uma senha exclusiva atribuída manualmente por um administrador ou gerada aleatoriamente por</w:t>
      </w:r>
      <w:r>
        <w:t xml:space="preserve"> </w:t>
      </w:r>
      <w:r>
        <w:t xml:space="preserve">Archer</w:t>
      </w:r>
      <w:r>
        <w:t xml:space="preserve">.</w:t>
      </w:r>
    </w:p>
    <w:p>
      <w:pPr>
        <w:pStyle w:val="BodyText"/>
      </w:pPr>
      <w:r>
        <w:t xml:space="preserve">É altamente recomendável que você habilite a opção Forçar alteração de senha no próximo sign-in no</w:t>
      </w:r>
      <w:r>
        <w:t xml:space="preserve"> </w:t>
      </w:r>
      <w:r>
        <w:t xml:space="preserve">Archer</w:t>
      </w:r>
      <w:r>
        <w:t xml:space="preserve"> </w:t>
      </w:r>
      <w:r>
        <w:t xml:space="preserve">para todas as novas contas de usuário. Configurar esta opção exige que os usuários alterem suas senhas na próxima vez que fizerem log-on em</w:t>
      </w:r>
      <w:r>
        <w:t xml:space="preserve"> </w:t>
      </w:r>
      <w:r>
        <w:t xml:space="preserve">Archer</w:t>
      </w:r>
      <w:r>
        <w:t xml:space="preserve">.</w:t>
      </w:r>
    </w:p>
    <w:p>
      <w:pPr>
        <w:pStyle w:val="BodyText"/>
      </w:pPr>
      <w:r>
        <w:t xml:space="preserve">O</w:t>
      </w:r>
      <w:r>
        <w:t xml:space="preserve"> </w:t>
      </w:r>
      <w:r>
        <w:t xml:space="preserve">Archer</w:t>
      </w:r>
      <w:r>
        <w:t xml:space="preserve"> </w:t>
      </w:r>
      <w:r>
        <w:t xml:space="preserve">impõe políticas de força da senha, log-on e timeout de sessão definidas nos parâmetros de segurança.</w:t>
      </w:r>
    </w:p>
    <w:p>
      <w:pPr>
        <w:pStyle w:val="BodyText"/>
      </w:pPr>
      <w:r>
        <w:t xml:space="preserve">Esses parâmetros de segurança são impostos pelo</w:t>
      </w:r>
      <w:r>
        <w:t xml:space="preserve"> </w:t>
      </w:r>
      <w:r>
        <w:t xml:space="preserve">Archer</w:t>
      </w:r>
      <w:r>
        <w:t xml:space="preserve"> </w:t>
      </w:r>
      <w:r>
        <w:t xml:space="preserve">em todas as contas de usuário, exceto nas contas</w:t>
      </w:r>
      <w:r>
        <w:t xml:space="preserve"> </w:t>
      </w:r>
      <w:r>
        <w:rPr>
          <w:b/>
          <w:bCs/>
        </w:rPr>
        <w:t xml:space="preserve">sysadmin</w:t>
      </w:r>
      <w:r>
        <w:t xml:space="preserve"> </w:t>
      </w:r>
      <w:r>
        <w:t xml:space="preserve">e de serviço. É altamente recomendável que você instrua seus administradores de acordo com sua política corporativa de TI e práticas recomendadas de segurança para gerar e gerenciar senhas de todas as contas.</w:t>
      </w:r>
    </w:p>
    <w:p>
      <w:pPr>
        <w:pStyle w:val="TableCaption"/>
      </w:pPr>
      <w:r>
        <w:t xml:space="preserve">A tabela a seguir mostra as configurações de senha do parâmetro de segurança padrão. É recomendável que você trate essas configurações como o requisito mínimo para impor senhas fortes e sessões seguras no</w:t>
      </w:r>
      <w:r>
        <w:t xml:space="preserve"> </w:t>
      </w:r>
      <w:r>
        <w:t xml:space="preserve">Archer</w:t>
      </w:r>
      <w:r>
        <w:t xml:space="preserve">.</w:t>
      </w:r>
    </w:p>
    <w:tbl>
      <w:tblPr>
        <w:tblStyle w:val="Table"/>
        <w:tblW w:type="auto" w:w="0"/>
        <w:tblLook w:firstRow="1" w:lastRow="0" w:firstColumn="0" w:lastColumn="0" w:noHBand="0" w:noVBand="0" w:val="0020"/>
        <w:tblCaption w:val="A tabela a seguir mostra as configurações de senha do parâmetro de segurança padrão. É recomendável que você trate essas configurações como o requisito mínimo para impor senhas fortes e sessões seguras no Archer."/>
      </w:tblPr>
      <w:tblGrid>
        <w:gridCol w:w="3960"/>
        <w:gridCol w:w="3960"/>
      </w:tblGrid>
      <w:tr>
        <w:trPr>
          <w:tblHeader w:val="on"/>
        </w:trPr>
        <w:tc>
          <w:tcPr/>
          <w:p>
            <w:pPr>
              <w:pStyle w:val="BodyText"/>
            </w:pPr>
            <w:r>
              <w:t xml:space="preserve">Parâmetro</w:t>
            </w:r>
          </w:p>
        </w:tc>
        <w:tc>
          <w:tcPr/>
          <w:p>
            <w:pPr>
              <w:pStyle w:val="BodyText"/>
            </w:pPr>
            <w:r>
              <w:t xml:space="preserve">Configuração</w:t>
            </w:r>
          </w:p>
        </w:tc>
      </w:tr>
      <w:tr>
        <w:tc>
          <w:tcPr/>
          <w:p>
            <w:pPr>
              <w:pStyle w:val="BodyText"/>
            </w:pPr>
            <w:r>
              <w:t xml:space="preserve">Comprimento mínimo de senha</w:t>
            </w:r>
          </w:p>
        </w:tc>
        <w:tc>
          <w:tcPr/>
          <w:p>
            <w:pPr>
              <w:pStyle w:val="BodyText"/>
            </w:pPr>
            <w:r>
              <w:t xml:space="preserve">9 caracteres</w:t>
            </w:r>
          </w:p>
        </w:tc>
      </w:tr>
      <w:tr>
        <w:tc>
          <w:tcPr/>
          <w:p>
            <w:pPr>
              <w:pStyle w:val="BodyText"/>
            </w:pPr>
            <w:r>
              <w:t xml:space="preserve">Caracteres alfabéticos obrigatórios</w:t>
            </w:r>
          </w:p>
        </w:tc>
        <w:tc>
          <w:tcPr/>
          <w:p>
            <w:pPr>
              <w:pStyle w:val="BodyText"/>
            </w:pPr>
            <w:r>
              <w:t xml:space="preserve">2 caracteres</w:t>
            </w:r>
          </w:p>
        </w:tc>
      </w:tr>
      <w:tr>
        <w:tc>
          <w:tcPr/>
          <w:p>
            <w:pPr>
              <w:pStyle w:val="BodyText"/>
            </w:pPr>
            <w:r>
              <w:t xml:space="preserve">Caracteres numéricos obrigatórios</w:t>
            </w:r>
          </w:p>
        </w:tc>
        <w:tc>
          <w:tcPr/>
          <w:p>
            <w:pPr>
              <w:pStyle w:val="BodyText"/>
            </w:pPr>
            <w:r>
              <w:t xml:space="preserve">1 caractere</w:t>
            </w:r>
          </w:p>
        </w:tc>
      </w:tr>
      <w:tr>
        <w:tc>
          <w:tcPr/>
          <w:p>
            <w:pPr>
              <w:pStyle w:val="BodyText"/>
            </w:pPr>
            <w:r>
              <w:t xml:space="preserve">Caracteres especiais obrigatórios</w:t>
            </w:r>
          </w:p>
        </w:tc>
        <w:tc>
          <w:tcPr/>
          <w:p>
            <w:pPr>
              <w:pStyle w:val="BodyText"/>
            </w:pPr>
            <w:r>
              <w:t xml:space="preserve">1 caractere</w:t>
            </w:r>
          </w:p>
        </w:tc>
      </w:tr>
      <w:tr>
        <w:tc>
          <w:tcPr/>
          <w:p>
            <w:pPr>
              <w:pStyle w:val="BodyText"/>
            </w:pPr>
            <w:r>
              <w:t xml:space="preserve">Caracteres maiúsculos obrigatórios</w:t>
            </w:r>
          </w:p>
        </w:tc>
        <w:tc>
          <w:tcPr/>
          <w:p>
            <w:pPr>
              <w:pStyle w:val="BodyText"/>
            </w:pPr>
            <w:r>
              <w:t xml:space="preserve">1 caractere</w:t>
            </w:r>
          </w:p>
        </w:tc>
      </w:tr>
      <w:tr>
        <w:tc>
          <w:tcPr/>
          <w:p>
            <w:pPr>
              <w:pStyle w:val="BodyText"/>
            </w:pPr>
            <w:r>
              <w:t xml:space="preserve">Caracteres minúsculos obrigatórios</w:t>
            </w:r>
          </w:p>
        </w:tc>
        <w:tc>
          <w:tcPr/>
          <w:p>
            <w:pPr>
              <w:pStyle w:val="BodyText"/>
            </w:pPr>
            <w:r>
              <w:t xml:space="preserve">1 caractere</w:t>
            </w:r>
          </w:p>
        </w:tc>
      </w:tr>
      <w:tr>
        <w:tc>
          <w:tcPr/>
          <w:p>
            <w:pPr>
              <w:pStyle w:val="BodyText"/>
            </w:pPr>
            <w:r>
              <w:t xml:space="preserve">Intervalo de alteração da senha</w:t>
            </w:r>
          </w:p>
        </w:tc>
        <w:tc>
          <w:tcPr/>
          <w:p>
            <w:pPr>
              <w:pStyle w:val="BodyText"/>
            </w:pPr>
            <w:r>
              <w:t xml:space="preserve">90 dias</w:t>
            </w:r>
          </w:p>
        </w:tc>
      </w:tr>
      <w:tr>
        <w:tc>
          <w:tcPr/>
          <w:p>
            <w:pPr>
              <w:pStyle w:val="BodyText"/>
            </w:pPr>
            <w:r>
              <w:t xml:space="preserve">Senhas anteriores não permitidas</w:t>
            </w:r>
          </w:p>
        </w:tc>
        <w:tc>
          <w:tcPr/>
          <w:p>
            <w:pPr>
              <w:pStyle w:val="BodyText"/>
            </w:pPr>
            <w:r>
              <w:t xml:space="preserve">20 senhas</w:t>
            </w:r>
          </w:p>
        </w:tc>
      </w:tr>
      <w:tr>
        <w:tc>
          <w:tcPr/>
          <w:p>
            <w:pPr>
              <w:pStyle w:val="BodyText"/>
            </w:pPr>
            <w:r>
              <w:t xml:space="preserve">Tolerância de log-ons</w:t>
            </w:r>
          </w:p>
        </w:tc>
        <w:tc>
          <w:tcPr/>
          <w:p>
            <w:pPr>
              <w:pStyle w:val="BodyText"/>
            </w:pPr>
            <w:r>
              <w:t xml:space="preserve">0 log-on</w:t>
            </w:r>
          </w:p>
        </w:tc>
      </w:tr>
      <w:tr>
        <w:tc>
          <w:tcPr/>
          <w:p>
            <w:pPr>
              <w:pStyle w:val="BodyText"/>
            </w:pPr>
            <w:r>
              <w:t xml:space="preserve">Número máximo de tentativas de log-on com falha</w:t>
            </w:r>
          </w:p>
        </w:tc>
        <w:tc>
          <w:tcPr/>
          <w:p>
            <w:pPr>
              <w:pStyle w:val="BodyText"/>
            </w:pPr>
            <w:r>
              <w:t xml:space="preserve">3 tentativas</w:t>
            </w:r>
          </w:p>
        </w:tc>
      </w:tr>
      <w:tr>
        <w:tc>
          <w:tcPr/>
          <w:p>
            <w:pPr>
              <w:pStyle w:val="BodyText"/>
            </w:pPr>
            <w:r>
              <w:t xml:space="preserve">Timeout de sessão</w:t>
            </w:r>
          </w:p>
        </w:tc>
        <w:tc>
          <w:tcPr/>
          <w:p>
            <w:pPr>
              <w:pStyle w:val="BodyText"/>
            </w:pPr>
            <w:r>
              <w:t xml:space="preserve">10 minutos (conta sysadmin)</w:t>
            </w:r>
          </w:p>
          <w:p>
            <w:pPr>
              <w:pStyle w:val="BodyText"/>
            </w:pPr>
            <w:r>
              <w:t xml:space="preserve">30 minutos (conta de serviço)</w:t>
            </w:r>
          </w:p>
        </w:tc>
      </w:tr>
      <w:tr>
        <w:tc>
          <w:tcPr/>
          <w:p>
            <w:pPr>
              <w:pStyle w:val="BodyText"/>
            </w:pPr>
            <w:r>
              <w:t xml:space="preserve">Período de bloqueio da conta</w:t>
            </w:r>
          </w:p>
        </w:tc>
        <w:tc>
          <w:tcPr/>
          <w:p>
            <w:pPr>
              <w:pStyle w:val="BodyText"/>
            </w:pPr>
            <w:r>
              <w:t xml:space="preserve">999 dias</w:t>
            </w:r>
          </w:p>
        </w:tc>
      </w:tr>
    </w:tbl>
    <w:bookmarkEnd w:id="30"/>
    <w:bookmarkStart w:id="31" w:name="Redefiniçãodesenha"/>
    <w:p>
      <w:pPr>
        <w:pStyle w:val="Heading2"/>
      </w:pPr>
      <w:r>
        <w:t xml:space="preserve">Redefinição de senha</w:t>
      </w:r>
    </w:p>
    <w:p>
      <w:pPr>
        <w:pStyle w:val="FirstParagraph"/>
      </w:pPr>
      <w:r>
        <w:t xml:space="preserve">Se você habilitar o recurso de redefinição de senha no Painel de controle do Archer, os usuários poderão clicar em um link na página de log-in para redefinir suas senhas. Depois de clicar no link, o usuário é instruído a fornecer seu nome de usuário e seu endereço de e-mail. Se a conta de usuário for válida e não estiver bloqueada, o usuário receberá um e-mail de redefinição de senha gerado pelo sistema. Os usuários não podem redefinir senhas para contas bloqueadas e devem entrar em contato com um administrador do</w:t>
      </w:r>
      <w:r>
        <w:t xml:space="preserve"> </w:t>
      </w:r>
      <w:r>
        <w:t xml:space="preserve">Archer</w:t>
      </w:r>
      <w:r>
        <w:t xml:space="preserve"> </w:t>
      </w:r>
      <w:r>
        <w:t xml:space="preserve">para obter assistência.</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c_accounts_sysadmin_default_services.htm" TargetMode="External" /><Relationship Type="http://schemas.openxmlformats.org/officeDocument/2006/relationships/hyperlink" Id="rId25" Target="ac_accroles_assigning.htm" TargetMode="External" /><Relationship Type="http://schemas.openxmlformats.org/officeDocument/2006/relationships/hyperlink" Id="rId23" Target="ac_accroles_basics.htm" TargetMode="External" /><Relationship Type="http://schemas.openxmlformats.org/officeDocument/2006/relationships/hyperlink" Id="rId22" Target="ac_grps_basics.htm" TargetMode="External" /><Relationship Type="http://schemas.openxmlformats.org/officeDocument/2006/relationships/hyperlink" Id="rId21" Target="ac_secparms_basics.htm" TargetMode="External" /><Relationship Type="http://schemas.openxmlformats.org/officeDocument/2006/relationships/hyperlink" Id="rId24" Target="ac_usrs_adding.htm" TargetMode="External" /></Relationships>
</file>

<file path=word/_rels/footnotes.xml.rels><?xml version="1.0" encoding="UTF-8"?><Relationships xmlns="http://schemas.openxmlformats.org/package/2006/relationships"><Relationship Type="http://schemas.openxmlformats.org/officeDocument/2006/relationships/hyperlink" Id="rId26" Target="ac_accounts_sysadmin_default_services.htm" TargetMode="External" /><Relationship Type="http://schemas.openxmlformats.org/officeDocument/2006/relationships/hyperlink" Id="rId25" Target="ac_accroles_assigning.htm" TargetMode="External" /><Relationship Type="http://schemas.openxmlformats.org/officeDocument/2006/relationships/hyperlink" Id="rId23" Target="ac_accroles_basics.htm" TargetMode="External" /><Relationship Type="http://schemas.openxmlformats.org/officeDocument/2006/relationships/hyperlink" Id="rId22" Target="ac_grps_basics.htm" TargetMode="External" /><Relationship Type="http://schemas.openxmlformats.org/officeDocument/2006/relationships/hyperlink" Id="rId21" Target="ac_secparms_basics.htm" TargetMode="External" /><Relationship Type="http://schemas.openxmlformats.org/officeDocument/2006/relationships/hyperlink" Id="rId24" Target="ac_usrs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2025-02-19T20:07:01Z</dcterms:created>
  <dcterms:modified xsi:type="dcterms:W3CDTF">2025-02-19T20:07:01Z</dcterms:modified>
</cp:coreProperties>
</file>

<file path=docProps/custom.xml><?xml version="1.0" encoding="utf-8"?>
<Properties xmlns="http://schemas.openxmlformats.org/officeDocument/2006/custom-properties" xmlns:vt="http://schemas.openxmlformats.org/officeDocument/2006/docPropsVTypes"/>
</file>