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5a32bc7d97c2c5f24e94dbfea97f8af1457755e"/>
    <w:p>
      <w:pPr>
        <w:pStyle w:val="Heading1"/>
      </w:pPr>
      <w:r>
        <w:t xml:space="preserve">Práticas recomendadas de design de eventos orientados por dados (DDE)</w:t>
      </w:r>
    </w:p>
    <w:p>
      <w:pPr>
        <w:pStyle w:val="FirstParagraph"/>
      </w:pPr>
      <w:r>
        <w:t xml:space="preserve">Siga estas práticas recomendadas para criar</w:t>
      </w:r>
      <w:r>
        <w:t xml:space="preserve"> </w:t>
      </w:r>
      <w:hyperlink r:id="rId20">
        <w:r>
          <w:rPr>
            <w:rStyle w:val="Hyperlink"/>
          </w:rPr>
          <w:t xml:space="preserve">DDEs</w:t>
        </w:r>
      </w:hyperlink>
      <w:r>
        <w:t xml:space="preserve"> </w:t>
      </w:r>
      <w:r>
        <w:t xml:space="preserve">consistentes e fáceis de usar.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1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retrizesgeraisparaDDE">
        <w:r>
          <w:rPr>
            <w:rStyle w:val="Hyperlink"/>
          </w:rPr>
          <w:t xml:space="preserve">Diretrizes gerais para DDE</w:t>
        </w:r>
      </w:hyperlink>
    </w:p>
    <w:p>
      <w:pPr>
        <w:pStyle w:val="Compact"/>
        <w:numPr>
          <w:ilvl w:val="0"/>
          <w:numId w:val="1001"/>
        </w:numPr>
      </w:pPr>
      <w:hyperlink w:anchor="Conven%C3%A7%C3%B5esdenomenclatura">
        <w:r>
          <w:rPr>
            <w:rStyle w:val="Hyperlink"/>
          </w:rPr>
          <w:t xml:space="preserve">Convenções de nomenclatura</w:t>
        </w:r>
      </w:hyperlink>
    </w:p>
    <w:p>
      <w:pPr>
        <w:pStyle w:val="Compact"/>
        <w:numPr>
          <w:ilvl w:val="0"/>
          <w:numId w:val="1001"/>
        </w:numPr>
      </w:pPr>
      <w:hyperlink w:anchor="QuandoosDDEss%C3%A3oacionados">
        <w:r>
          <w:rPr>
            <w:rStyle w:val="Hyperlink"/>
          </w:rPr>
          <w:t xml:space="preserve">Quando os DDEs são acionados?</w:t>
        </w:r>
      </w:hyperlink>
    </w:p>
    <w:bookmarkStart w:id="22" w:name="DiretrizesgeraisparaDDE"/>
    <w:p>
      <w:pPr>
        <w:pStyle w:val="Heading2"/>
      </w:pPr>
      <w:r>
        <w:t xml:space="preserve">Diretrizes gerais para DDE</w:t>
      </w:r>
    </w:p>
    <w:p>
      <w:pPr>
        <w:numPr>
          <w:ilvl w:val="0"/>
          <w:numId w:val="1002"/>
        </w:numPr>
      </w:pPr>
      <w:r>
        <w:t xml:space="preserve">Limite o número total de DDEs para menos de 30 por layout.</w:t>
      </w:r>
    </w:p>
    <w:p>
      <w:pPr>
        <w:numPr>
          <w:ilvl w:val="0"/>
          <w:numId w:val="1002"/>
        </w:numPr>
      </w:pPr>
      <w:r>
        <w:t xml:space="preserve">Limite os eventos de Aplicar Layout Condicional (ACL) para menos de 25 por layout.</w:t>
      </w:r>
    </w:p>
    <w:p>
      <w:pPr>
        <w:numPr>
          <w:ilvl w:val="0"/>
          <w:numId w:val="1003"/>
        </w:numPr>
      </w:pPr>
      <w:r>
        <w:t xml:space="preserve">As condições Sempre verdadeiro devem sempre ser definidas com uma das seguintes condições:</w:t>
      </w:r>
    </w:p>
    <w:p>
      <w:pPr>
        <w:numPr>
          <w:ilvl w:val="1"/>
          <w:numId w:val="1004"/>
        </w:numPr>
      </w:pPr>
      <w:r>
        <w:t xml:space="preserve">A primeira data de publicação é superior a 01/01/1900</w:t>
      </w:r>
    </w:p>
    <w:p>
      <w:pPr>
        <w:numPr>
          <w:ilvl w:val="1"/>
          <w:numId w:val="1004"/>
        </w:numPr>
      </w:pPr>
      <w:r>
        <w:t xml:space="preserve">A primeira data de publicação é NULL (deixe em branco)</w:t>
      </w:r>
    </w:p>
    <w:p>
      <w:pPr>
        <w:numPr>
          <w:ilvl w:val="0"/>
          <w:numId w:val="1005"/>
        </w:numPr>
      </w:pPr>
      <w:r>
        <w:t xml:space="preserve">Teste todos os DDEs com contas de usuário de teste para garantir que estejam funcionando conforme o esperado.</w:t>
      </w:r>
    </w:p>
    <w:p>
      <w:pPr>
        <w:numPr>
          <w:ilvl w:val="0"/>
          <w:numId w:val="1006"/>
        </w:numPr>
      </w:pPr>
      <w:r>
        <w:t xml:space="preserve">Teste o disparo individual de eventos pressionando as seguintes teclas de uma só vez CTRL+ALT+(clique esquerdo)</w:t>
      </w:r>
    </w:p>
    <w:p>
      <w:pPr>
        <w:numPr>
          <w:ilvl w:val="0"/>
          <w:numId w:val="1007"/>
        </w:numPr>
      </w:pPr>
      <w:r>
        <w:t xml:space="preserve">Certifique-se de ter a ordem adequada de regras para seu cenário específico.</w:t>
      </w:r>
    </w:p>
    <w:p>
      <w:pPr>
        <w:numPr>
          <w:ilvl w:val="0"/>
          <w:numId w:val="1008"/>
        </w:numPr>
      </w:pPr>
      <w:r>
        <w:t xml:space="preserve">As ações Aplicar layout condicional têm uma ordem de precedência específica para as ações. As ações são classificadas a seguir da precedência mais alta para a mais baixa. Mais alto significa que irá sobrepor outros se tiver sido selecionado.</w:t>
      </w:r>
    </w:p>
    <w:p>
      <w:pPr>
        <w:numPr>
          <w:ilvl w:val="1"/>
          <w:numId w:val="1009"/>
        </w:numPr>
      </w:pPr>
      <w:r>
        <w:t xml:space="preserve">Seção</w:t>
      </w:r>
    </w:p>
    <w:p>
      <w:pPr>
        <w:numPr>
          <w:ilvl w:val="2"/>
          <w:numId w:val="1010"/>
        </w:numPr>
      </w:pPr>
      <w:r>
        <w:t xml:space="preserve">Leitura</w:t>
      </w:r>
    </w:p>
    <w:p>
      <w:pPr>
        <w:numPr>
          <w:ilvl w:val="2"/>
          <w:numId w:val="1010"/>
        </w:numPr>
      </w:pPr>
      <w:r>
        <w:t xml:space="preserve">Exibir</w:t>
      </w:r>
    </w:p>
    <w:p>
      <w:pPr>
        <w:numPr>
          <w:ilvl w:val="2"/>
          <w:numId w:val="1010"/>
        </w:numPr>
      </w:pPr>
      <w:r>
        <w:t xml:space="preserve">Não exibir</w:t>
      </w:r>
    </w:p>
    <w:p>
      <w:pPr>
        <w:numPr>
          <w:ilvl w:val="2"/>
          <w:numId w:val="1010"/>
        </w:numPr>
      </w:pPr>
      <w:r>
        <w:t xml:space="preserve">Utilizar configurações padrão</w:t>
      </w:r>
    </w:p>
    <w:p>
      <w:pPr>
        <w:numPr>
          <w:ilvl w:val="1"/>
          <w:numId w:val="1009"/>
        </w:numPr>
      </w:pPr>
      <w:r>
        <w:t xml:space="preserve">Campos</w:t>
      </w:r>
    </w:p>
    <w:p>
      <w:pPr>
        <w:numPr>
          <w:ilvl w:val="2"/>
          <w:numId w:val="1011"/>
        </w:numPr>
      </w:pPr>
      <w:r>
        <w:t xml:space="preserve">Obrigatório</w:t>
      </w:r>
    </w:p>
    <w:p>
      <w:pPr>
        <w:numPr>
          <w:ilvl w:val="2"/>
          <w:numId w:val="1012"/>
        </w:numPr>
      </w:pPr>
      <w:r>
        <w:t xml:space="preserve">Leitura</w:t>
      </w:r>
    </w:p>
    <w:p>
      <w:pPr>
        <w:numPr>
          <w:ilvl w:val="2"/>
          <w:numId w:val="1013"/>
        </w:numPr>
      </w:pPr>
      <w:r>
        <w:t xml:space="preserve">Exibir</w:t>
      </w:r>
    </w:p>
    <w:p>
      <w:pPr>
        <w:numPr>
          <w:ilvl w:val="2"/>
          <w:numId w:val="1014"/>
        </w:numPr>
      </w:pPr>
      <w:r>
        <w:t xml:space="preserve">Não exibir</w:t>
      </w:r>
    </w:p>
    <w:p>
      <w:pPr>
        <w:numPr>
          <w:ilvl w:val="2"/>
          <w:numId w:val="1015"/>
        </w:numPr>
      </w:pPr>
      <w:r>
        <w:t xml:space="preserve">Utilizar configurações padrão</w:t>
      </w:r>
    </w:p>
    <w:bookmarkEnd w:id="22"/>
    <w:bookmarkStart w:id="23" w:name="Convençõesdenomenclatura"/>
    <w:p>
      <w:pPr>
        <w:pStyle w:val="Heading2"/>
      </w:pPr>
      <w:r>
        <w:t xml:space="preserve">Convenções de nomenclatura</w:t>
      </w:r>
    </w:p>
    <w:p>
      <w:pPr>
        <w:numPr>
          <w:ilvl w:val="0"/>
          <w:numId w:val="1016"/>
        </w:numPr>
      </w:pPr>
      <w:r>
        <w:t xml:space="preserve">Os nomes das regras devem indicar o que está sendo avaliado (exemplo Status = Ativo)</w:t>
      </w:r>
    </w:p>
    <w:p>
      <w:pPr>
        <w:numPr>
          <w:ilvl w:val="0"/>
          <w:numId w:val="1017"/>
        </w:numPr>
      </w:pPr>
      <w:r>
        <w:t xml:space="preserve">Os nomes das ações devem indicar o que fazem (ocultar seção de informações gerais)</w:t>
      </w:r>
    </w:p>
    <w:bookmarkEnd w:id="23"/>
    <w:bookmarkStart w:id="24" w:name="QuandoosDDEssãoacionados"/>
    <w:p>
      <w:pPr>
        <w:pStyle w:val="Heading2"/>
      </w:pPr>
      <w:r>
        <w:t xml:space="preserve">Quando os DDEs são acionados?</w:t>
      </w:r>
    </w:p>
    <w:p>
      <w:pPr>
        <w:numPr>
          <w:ilvl w:val="0"/>
          <w:numId w:val="1018"/>
        </w:numPr>
      </w:pPr>
      <w:r>
        <w:t xml:space="preserve">Novo registro &gt; Todas as regras avaliadas, Definir valor, Filtrar lista de valores e Aplicar ações de layout condicional são executados.</w:t>
      </w:r>
    </w:p>
    <w:p>
      <w:pPr>
        <w:numPr>
          <w:ilvl w:val="0"/>
          <w:numId w:val="1019"/>
        </w:numPr>
      </w:pPr>
      <w:r>
        <w:t xml:space="preserve">Editar registro existente &gt; Todas as regras avaliadas, Filtrar lista de valores e aplicar ações de layout condicional são executadas.</w:t>
      </w:r>
    </w:p>
    <w:p>
      <w:pPr>
        <w:numPr>
          <w:ilvl w:val="0"/>
          <w:numId w:val="1020"/>
        </w:numPr>
      </w:pPr>
      <w:r>
        <w:t xml:space="preserve">Campo modificado &gt; Todas as regras avaliadas, ações definidas se aplicam se estiverem vinculadas. Para regras que contêm o campo modificado – Filtrar e aplicar ações de layout condicional executadas.</w:t>
      </w:r>
    </w:p>
    <w:p>
      <w:pPr>
        <w:numPr>
          <w:ilvl w:val="0"/>
          <w:numId w:val="1021"/>
        </w:numPr>
      </w:pPr>
      <w:r>
        <w:t xml:space="preserve">Salvar registro existente&gt; Calcular campos do Calc, avaliar todas as regras, executar ações de Gerar notificação.</w:t>
      </w:r>
    </w:p>
    <w:p>
      <w:pPr>
        <w:numPr>
          <w:ilvl w:val="0"/>
          <w:numId w:val="1022"/>
        </w:numPr>
      </w:pPr>
      <w:r>
        <w:t xml:space="preserve">Visualizar registro existente &gt; todas as regras avaliadas, aplicar ações de layout condicional executadas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Ações DDE para não acionar em campos ocultos.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datadrivenevents/dde_basics.htm" TargetMode="External" /><Relationship Type="http://schemas.openxmlformats.org/officeDocument/2006/relationships/hyperlink" Id="rId21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datadrivenevents/dde_basics.htm" TargetMode="External" /><Relationship Type="http://schemas.openxmlformats.org/officeDocument/2006/relationships/hyperlink" Id="rId21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2025-03-06T16:24:45Z</dcterms:created>
  <dcterms:modified xsi:type="dcterms:W3CDTF">2025-03-06T16:24:45Z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