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notificações-1"/>
    <w:p>
      <w:pPr>
        <w:pStyle w:val="Heading1"/>
      </w:pPr>
      <w:bookmarkStart w:id="20" w:name="aanchor218"/>
      <w:bookmarkEnd w:id="20"/>
      <w:r>
        <w:t xml:space="preserve"> </w:t>
      </w:r>
      <w:r>
        <w:t xml:space="preserve">Notificações</w:t>
      </w:r>
    </w:p>
    <w:p>
      <w:pPr>
        <w:pStyle w:val="FirstParagraph"/>
      </w:pPr>
      <w:r>
        <w:t xml:space="preserve">O recurso Notificações é uma função para o envio de notificações de várias condições no momento em que elas ocorrem para destinatários designados, por exemplo, a adição ou a atualização de um registro. Os administradores da</w:t>
      </w:r>
      <w:r>
        <w:t xml:space="preserve"> </w:t>
      </w:r>
      <w:r>
        <w:t xml:space="preserve">Archer</w:t>
      </w:r>
      <w:r>
        <w:t xml:space="preserve"> </w:t>
      </w:r>
      <w:r>
        <w:t xml:space="preserve">podem personalizar as notificações usando modelos definindo que a aparência e as propriedades de página podem ser utilizadas por múltiplas notificações.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cionamentosdenotifica%C3%A7%C3%A3o">
        <w:r>
          <w:rPr>
            <w:rStyle w:val="Hyperlink"/>
          </w:rPr>
          <w:t xml:space="preserve">Acionamentos de notificação</w:t>
        </w:r>
      </w:hyperlink>
    </w:p>
    <w:p>
      <w:pPr>
        <w:pStyle w:val="Compact"/>
        <w:numPr>
          <w:ilvl w:val="0"/>
          <w:numId w:val="1001"/>
        </w:numPr>
      </w:pPr>
      <w:hyperlink w:anchor="X722fbbcd9a08e8f6c51bccc620945f6a90dc737">
        <w:r>
          <w:rPr>
            <w:rStyle w:val="Hyperlink"/>
          </w:rPr>
          <w:t xml:space="preserve">Configurações globais de notificação</w:t>
        </w:r>
      </w:hyperlink>
    </w:p>
    <w:p>
      <w:pPr>
        <w:pStyle w:val="Compact"/>
        <w:numPr>
          <w:ilvl w:val="0"/>
          <w:numId w:val="1001"/>
        </w:numPr>
      </w:pPr>
      <w:hyperlink w:anchor="Terminologiadasnotifica%C3%A7%C3%B5es">
        <w:r>
          <w:rPr>
            <w:rStyle w:val="Hyperlink"/>
          </w:rPr>
          <w:t xml:space="preserve">Terminologia das notificações</w:t>
        </w:r>
      </w:hyperlink>
    </w:p>
    <w:p>
      <w:pPr>
        <w:pStyle w:val="Compact"/>
        <w:numPr>
          <w:ilvl w:val="0"/>
          <w:numId w:val="1001"/>
        </w:numPr>
      </w:pPr>
      <w:hyperlink w:anchor="Regrasdedestinat%C3%A1rio">
        <w:r>
          <w:rPr>
            <w:rStyle w:val="Hyperlink"/>
          </w:rPr>
          <w:t xml:space="preserve">Regras de destinatário</w:t>
        </w:r>
      </w:hyperlink>
    </w:p>
    <w:p>
      <w:pPr>
        <w:pStyle w:val="Compact"/>
        <w:numPr>
          <w:ilvl w:val="0"/>
          <w:numId w:val="1001"/>
        </w:numPr>
      </w:pPr>
      <w:hyperlink w:anchor="Regrasdeinscri%C3%A7%C3%A3o">
        <w:r>
          <w:rPr>
            <w:rStyle w:val="Hyperlink"/>
          </w:rPr>
          <w:t xml:space="preserve">Regras de inscrição</w:t>
        </w:r>
      </w:hyperlink>
    </w:p>
    <w:bookmarkStart w:id="21" w:name="Acionamentosdenotificação"/>
    <w:p>
      <w:pPr>
        <w:pStyle w:val="Heading2"/>
      </w:pPr>
      <w:r>
        <w:t xml:space="preserve">Acionamentos de notificação</w:t>
      </w:r>
    </w:p>
    <w:p>
      <w:pPr>
        <w:pStyle w:val="FirstParagraph"/>
      </w:pPr>
      <w:r>
        <w:t xml:space="preserve">Os usuários especificados recebem notificações quando um acionador definido ocorre em um aplicativo ou questionário. Um acionador é qualquer alteração detectada na</w:t>
      </w:r>
      <w:r>
        <w:t xml:space="preserve"> </w:t>
      </w:r>
      <w:r>
        <w:t xml:space="preserve">Archer</w:t>
      </w:r>
      <w:r>
        <w:t xml:space="preserve"> </w:t>
      </w:r>
      <w:r>
        <w:t xml:space="preserve">que inicie a publicação de uma notificação. Um acionamento pode ser qualquer um dos seguintes:</w:t>
      </w:r>
    </w:p>
    <w:p>
      <w:pPr>
        <w:pStyle w:val="Compact"/>
        <w:numPr>
          <w:ilvl w:val="0"/>
          <w:numId w:val="1002"/>
        </w:numPr>
      </w:pPr>
      <w:r>
        <w:t xml:space="preserve">Salvar um registro</w:t>
      </w:r>
    </w:p>
    <w:p>
      <w:pPr>
        <w:pStyle w:val="Compact"/>
        <w:numPr>
          <w:ilvl w:val="0"/>
          <w:numId w:val="1002"/>
        </w:numPr>
      </w:pPr>
      <w:r>
        <w:t xml:space="preserve">Relatórios periódicos</w:t>
      </w:r>
    </w:p>
    <w:p>
      <w:pPr>
        <w:pStyle w:val="Compact"/>
        <w:numPr>
          <w:ilvl w:val="0"/>
          <w:numId w:val="1002"/>
        </w:numPr>
      </w:pPr>
      <w:r>
        <w:t xml:space="preserve">Alterações da fase do workflow</w:t>
      </w:r>
    </w:p>
    <w:p>
      <w:pPr>
        <w:pStyle w:val="Compact"/>
        <w:numPr>
          <w:ilvl w:val="0"/>
          <w:numId w:val="1002"/>
        </w:numPr>
      </w:pPr>
      <w:r>
        <w:t xml:space="preserve">Pesquisa de registro diária baseada em critérios de filtro</w:t>
      </w:r>
    </w:p>
    <w:p>
      <w:pPr>
        <w:pStyle w:val="FirstParagraph"/>
      </w:pPr>
      <w:r>
        <w:t xml:space="preserve">Quando um acionamento especificado ocorre, as notificações são enfileiradas conforme salvamento ou com base em uma programação específica.</w:t>
      </w:r>
    </w:p>
    <w:bookmarkEnd w:id="21"/>
    <w:bookmarkStart w:id="22" w:name="Configuraçõesglobaisdenotificação"/>
    <w:p>
      <w:pPr>
        <w:pStyle w:val="Heading2"/>
      </w:pPr>
      <w:r>
        <w:t xml:space="preserve">Configurações globais de notificação</w:t>
      </w:r>
    </w:p>
    <w:p>
      <w:pPr>
        <w:pStyle w:val="FirstParagraph"/>
      </w:pPr>
      <w:r>
        <w:t xml:space="preserve">As configurações globais de notificação são propriedades gerais que definem valores padrão para todas as notificações, assim como o recurso de confirmação de leitura. As propriedades de Confirmação de leitura permitem que os administradores ativem a funcionalidade de confirmação de leitura. Uma conta de e-mail designada rastreia o recebimento das notificações acionadas por um diagrama de notificação.</w:t>
      </w:r>
    </w:p>
    <w:p>
      <w:pPr>
        <w:pStyle w:val="BodyText"/>
      </w:pPr>
      <w:r>
        <w:t xml:space="preserve">Os destinatários podem receber notificações utilizando qualquer dispositivo baseado em e-mail. Os usuários da</w:t>
      </w:r>
      <w:r>
        <w:t xml:space="preserve"> </w:t>
      </w:r>
      <w:r>
        <w:t xml:space="preserve">Archer</w:t>
      </w:r>
      <w:r>
        <w:t xml:space="preserve"> </w:t>
      </w:r>
      <w:r>
        <w:t xml:space="preserve">podem selecionar as notificações que desejam receber no menu Preferências do usuário.</w:t>
      </w:r>
    </w:p>
    <w:bookmarkEnd w:id="22"/>
    <w:bookmarkStart w:id="23" w:name="Terminologiadasnotificações"/>
    <w:p>
      <w:pPr>
        <w:pStyle w:val="Heading2"/>
      </w:pPr>
      <w:r>
        <w:t xml:space="preserve">Terminologia das notificações</w:t>
      </w:r>
    </w:p>
    <w:p>
      <w:pPr>
        <w:pStyle w:val="TableCaption"/>
      </w:pPr>
      <w:r>
        <w:t xml:space="preserve">A tabela a seguir define os termos das notificações.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fine os termos das notifica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Termo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O formato do conteúdo no corpo de uma notificação. O conteúdo pode ser estruturado ou ter formato livre.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Notificação</w:t>
            </w:r>
          </w:p>
        </w:tc>
        <w:tc>
          <w:tcPr/>
          <w:p>
            <w:pPr>
              <w:pStyle w:val="BodyText"/>
            </w:pPr>
            <w:r>
              <w:t xml:space="preserve">Observe que os destinatários especificados recebem com base em um conjunto de condições predefinidas.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 de notificação</w:t>
            </w:r>
          </w:p>
        </w:tc>
        <w:tc>
          <w:tcPr/>
          <w:p>
            <w:pPr>
              <w:pStyle w:val="BodyText"/>
            </w:pPr>
            <w:r>
              <w:t xml:space="preserve">A especificação de propriedades e as configurações das notificações. O modelo de notificação define quais informações são enviadas, quando são enviadas, quem deve recebê-las e como as informações são exibidas.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Publicação de notificação</w:t>
            </w:r>
          </w:p>
        </w:tc>
        <w:tc>
          <w:tcPr/>
          <w:p>
            <w:pPr>
              <w:pStyle w:val="BodyText"/>
            </w:pPr>
            <w:r>
              <w:t xml:space="preserve">O ato de criar e enviar notificações. A publicação inclui um método de entrega, comportamentos de inscrição e destinatários.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ou qualquer outro usuário que receba notificações. Dependendo do diagrama de notificação, os destinatários podem ser 1 das opções abaixo ou uma combinação delas: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Usuários e grupos da</w:t>
            </w:r>
            <w:r>
              <w:t xml:space="preserve"> </w:t>
            </w:r>
            <w:r>
              <w:t xml:space="preserve">Archer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Usuários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contidos nos campos de Permissão de registro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Outros usuários incluídos manualmente no diagrama (indivíduos que não são usuários da</w:t>
            </w:r>
            <w:r>
              <w:t xml:space="preserve"> </w:t>
            </w:r>
            <w:r>
              <w:t xml:space="preserve">Archer</w:t>
            </w:r>
            <w:r>
              <w:t xml:space="preserve">)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um usuário for especificado várias vezes (por exemplo, individualmente e como parte de um grupo ou função), esse usuário receberá apenas 1 notificação sempre que a notificação é acionada.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Um conjunto de dados ou campos especificado para preencher os elementos da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</w:t>
            </w:r>
          </w:p>
        </w:tc>
        <w:tc>
          <w:tcPr/>
          <w:p>
            <w:pPr>
              <w:pStyle w:val="BodyText"/>
            </w:pPr>
            <w:r>
              <w:t xml:space="preserve">Um formato predefinido de um tipo de notificação composto do layout de nome, papel timbrado e corpo no diagrama de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Acionamento</w:t>
            </w:r>
          </w:p>
        </w:tc>
        <w:tc>
          <w:tcPr/>
          <w:p>
            <w:pPr>
              <w:pStyle w:val="BodyText"/>
            </w:pPr>
            <w:r>
              <w:t xml:space="preserve">Qualquer alteração detectada na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que inicie a publicação de uma notificação. Quando um acionamento especificado ocorre, as notificações serão enfileiradas e processada.</w:t>
            </w:r>
          </w:p>
        </w:tc>
      </w:tr>
    </w:tbl>
    <w:bookmarkEnd w:id="23"/>
    <w:bookmarkStart w:id="24" w:name="Regrasdedestinatário"/>
    <w:p>
      <w:pPr>
        <w:pStyle w:val="Heading2"/>
      </w:pPr>
      <w:r>
        <w:t xml:space="preserve">Regras de destinatário</w:t>
      </w:r>
    </w:p>
    <w:p>
      <w:pPr>
        <w:pStyle w:val="FirstParagraph"/>
      </w:pPr>
      <w:r>
        <w:t xml:space="preserve">Os destinatários podem ser usuários, grupos ou endereços de e-mail inseridos manualmente. Os destinatários que não são usuários da</w:t>
      </w:r>
      <w:r>
        <w:t xml:space="preserve"> </w:t>
      </w:r>
      <w:r>
        <w:t xml:space="preserve">Archer</w:t>
      </w:r>
      <w:r>
        <w:t xml:space="preserve"> </w:t>
      </w:r>
      <w:r>
        <w:t xml:space="preserve">recebem todo o conteúdo, independentemente das permissões.</w:t>
      </w:r>
    </w:p>
    <w:p>
      <w:pPr>
        <w:pStyle w:val="BodyText"/>
      </w:pPr>
      <w:r>
        <w:t xml:space="preserve">Se uma conta de usuário estiver bloqueada, ela não receberá notificações para as quais foi inscrita.</w:t>
      </w:r>
    </w:p>
    <w:p>
      <w:pPr>
        <w:pStyle w:val="TableCaption"/>
      </w:pPr>
      <w:r>
        <w:t xml:space="preserve">A tabela a seguir descreve as regras de destinatários.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destinatá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Usuários</w:t>
            </w:r>
          </w:p>
        </w:tc>
        <w:tc>
          <w:tcPr/>
          <w:p>
            <w:pPr>
              <w:pStyle w:val="BodyText"/>
            </w:pPr>
            <w:r>
              <w:t xml:space="preserve">Um usuário específico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recebe a notificação. O endereço de e-mail principal do usuário, descrito na conta de usuário, é usado para enviar a notificação.</w:t>
            </w:r>
          </w:p>
          <w:p>
            <w:pPr>
              <w:pStyle w:val="BodyText"/>
            </w:pPr>
            <w:r>
              <w:t xml:space="preserve">Se o usuário está inscrito para receber notificações e seleciona um endereço diferente na página Gerenciar suas inscrições de e-mail, no menu Preferências, o endereço de e-mail especificado é usado.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Grupos</w:t>
            </w:r>
          </w:p>
        </w:tc>
        <w:tc>
          <w:tcPr/>
          <w:p>
            <w:pPr>
              <w:pStyle w:val="BodyText"/>
            </w:pPr>
            <w:r>
              <w:t xml:space="preserve">Um grupo específico recebe a notificação. Cada usuário do grupo é tratado individualmente no momento em que a notificação é enviada. O endereço de e-mail do usuário segue as mesmas regras definidas para o tipo Usuários.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</w:t>
            </w:r>
          </w:p>
        </w:tc>
        <w:tc>
          <w:tcPr/>
          <w:p>
            <w:pPr>
              <w:pStyle w:val="BodyText"/>
            </w:pPr>
            <w:r>
              <w:t xml:space="preserve">Os campos que contêm endereços de e-mail no momento da publicação recebem a notificação. Os seguintes tipos de campos podem conter endereços de e-mail: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Permissões de registro. Os destinatários são especificados no nível de registro.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Texto. Os destinatários são especificados como usuários no campo.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Lista de usuários/grupos. Os destinatários são especificados em uma lista de usuários e grupos na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Lista de valores. Os destinatários são especificados em uma lista de valores predeterminados.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Workflow. Os destinatários são especificados nas Propriedades da fase do workflow.</w:t>
            </w:r>
          </w:p>
          <w:p>
            <w:pPr>
              <w:pStyle w:val="FirstParagraph"/>
            </w:pPr>
            <w:r>
              <w:t xml:space="preserve">As Listas de usuários/grupos não são baseadas em registros. Todos os outros tipos de campo são campos Texto baseados em registro. As Listas de valores não usam permissões de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Estático</w:t>
            </w:r>
          </w:p>
        </w:tc>
        <w:tc>
          <w:tcPr/>
          <w:p>
            <w:pPr>
              <w:pStyle w:val="BodyText"/>
            </w:pPr>
            <w:r>
              <w:t xml:space="preserve">O endereço de e-mail que é inserido manualmente no diagrama de notificação.</w:t>
            </w:r>
          </w:p>
        </w:tc>
      </w:tr>
    </w:tbl>
    <w:bookmarkEnd w:id="24"/>
    <w:bookmarkStart w:id="25" w:name="Regrasdeinscrição"/>
    <w:p>
      <w:pPr>
        <w:pStyle w:val="Heading2"/>
      </w:pPr>
      <w:r>
        <w:t xml:space="preserve">Regras de inscrição</w:t>
      </w:r>
    </w:p>
    <w:p>
      <w:pPr>
        <w:pStyle w:val="FirstParagraph"/>
      </w:pPr>
      <w:r>
        <w:t xml:space="preserve">As inscrições de notificação permitem que os destinatários recebam notificações após a adição ou atualização de registros nos aplicativos ou questionários especificados. A tabela a seguir descreve os tipos disponíveis de inscrição.</w:t>
      </w:r>
    </w:p>
    <w:p>
      <w:pPr>
        <w:pStyle w:val="TableCaption"/>
      </w:pPr>
      <w:r>
        <w:t xml:space="preserve">A tabela a seguir descreve os tipos disponíveis de inscrição.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tipos disponíveis de inscri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assinante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Nenhum</w:t>
            </w:r>
          </w:p>
        </w:tc>
        <w:tc>
          <w:tcPr/>
          <w:p>
            <w:pPr>
              <w:pStyle w:val="BodyText"/>
            </w:pPr>
            <w:r>
              <w:t xml:space="preserve">Nenhum usuário é inscrito por padrão. Os usuários podem se inscrever e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Novos usuários</w:t>
            </w:r>
          </w:p>
        </w:tc>
        <w:tc>
          <w:tcPr/>
          <w:p>
            <w:pPr>
              <w:pStyle w:val="BodyText"/>
            </w:pPr>
            <w:r>
              <w:t xml:space="preserve">Os novos usuários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Todos os usuários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Obrigatório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não podem cancelar a inscrição.</w:t>
            </w:r>
          </w:p>
        </w:tc>
      </w:tr>
    </w:tbl>
    <w:p>
      <w:pPr>
        <w:pStyle w:val="BodyText"/>
      </w:pPr>
      <w:r>
        <w:t xml:space="preserve">Os administradores especificam as configurações padrão para notificações nos diagramas de notificação. Os usuários do</w:t>
      </w:r>
      <w:r>
        <w:t xml:space="preserve"> </w:t>
      </w:r>
      <w:r>
        <w:t xml:space="preserve">Archer</w:t>
      </w:r>
      <w:r>
        <w:t xml:space="preserve"> </w:t>
      </w:r>
      <w:r>
        <w:t xml:space="preserve">podem se inscrever para receber notificações ou cancelar a inscrição no menu Preferências do usuário Gerenciar suas inscrições de e-mail.</w:t>
      </w:r>
    </w:p>
    <w:p>
      <w:pPr>
        <w:pStyle w:val="BodyText"/>
      </w:pPr>
      <w:r>
        <w:t xml:space="preserve">Todos os destinatários selecionados recebem automaticamente notificações.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2025-03-06T16:27:40Z</dcterms:created>
  <dcterms:modified xsi:type="dcterms:W3CDTF">2025-03-06T16:27:40Z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