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5" w:name="mc-main-content"/>
    <w:bookmarkStart w:id="34" w:name="adicionando-notificações-xml-1"/>
    <w:p>
      <w:pPr>
        <w:pStyle w:val="Heading1"/>
      </w:pPr>
      <w:bookmarkStart w:id="20" w:name="aanchor90"/>
      <w:bookmarkEnd w:id="20"/>
      <w:r>
        <w:t xml:space="preserve"> </w:t>
      </w:r>
      <w:r>
        <w:t xml:space="preserve">Adicionando notificações XML</w:t>
      </w:r>
    </w:p>
    <w:p>
      <w:pPr>
        <w:pStyle w:val="FirstParagraph"/>
      </w:pPr>
      <w:r>
        <w:t xml:space="preserve">As notificações XML são utilizadas para transmitir informações da</w:t>
      </w:r>
      <w:r>
        <w:t xml:space="preserve"> </w:t>
      </w:r>
      <w:r>
        <w:t xml:space="preserve">Archer</w:t>
      </w:r>
      <w:r>
        <w:t xml:space="preserve"> </w:t>
      </w:r>
      <w:r>
        <w:t xml:space="preserve">para um sistema externo ou uma integração no formato XML. Você configura as regras de uma notificação XML em um diagrama de notificação XML.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X071459a3d0abca080ab9caed03e047c81442857">
        <w:r>
          <w:rPr>
            <w:rStyle w:val="Hyperlink"/>
          </w:rPr>
          <w:t xml:space="preserve">Exemplo de cenário de notificação XML</w:t>
        </w:r>
      </w:hyperlink>
    </w:p>
    <w:p>
      <w:pPr>
        <w:pStyle w:val="Compact"/>
        <w:numPr>
          <w:ilvl w:val="0"/>
          <w:numId w:val="1001"/>
        </w:numPr>
      </w:pPr>
      <w:hyperlink w:anchor="Elementosdenotifica%C3%A7%C3%B5esXML">
        <w:r>
          <w:rPr>
            <w:rStyle w:val="Hyperlink"/>
          </w:rPr>
          <w:t xml:space="preserve">Elementos de notificações XML</w:t>
        </w:r>
      </w:hyperlink>
    </w:p>
    <w:p>
      <w:pPr>
        <w:pStyle w:val="Compact"/>
        <w:numPr>
          <w:ilvl w:val="0"/>
          <w:numId w:val="1001"/>
        </w:numPr>
      </w:pPr>
      <w:hyperlink w:anchor="Adicionarumanotifica%C3%A7%C3%A3oXML">
        <w:r>
          <w:rPr>
            <w:rStyle w:val="Hyperlink"/>
          </w:rPr>
          <w:t xml:space="preserve">Adicionar uma notificação XML</w:t>
        </w:r>
      </w:hyperlink>
    </w:p>
    <w:bookmarkStart w:id="21" w:name="ExemplodecenáriodenotificaçãoXML"/>
    <w:p>
      <w:pPr>
        <w:pStyle w:val="Heading2"/>
      </w:pPr>
      <w:r>
        <w:t xml:space="preserve">Exemplo de cenário de notificação XML</w:t>
      </w:r>
    </w:p>
    <w:p>
      <w:pPr>
        <w:pStyle w:val="TableCaption"/>
      </w:pPr>
      <w:r>
        <w:t xml:space="preserve">A tabela a seguir fornece um exemplo de cenário de notificação XML.</w:t>
      </w:r>
    </w:p>
    <w:tbl>
      <w:tblPr>
        <w:tblStyle w:val="Table"/>
        <w:tblW w:type="auto" w:w="0"/>
        <w:tblLook w:firstRow="0" w:lastRow="0" w:firstColumn="1" w:lastColumn="0" w:noHBand="0" w:noVBand="0" w:val="0080"/>
        <w:tblCaption w:val="A tabela a seguir fornece um exemplo de cenário de notificação XML."/>
      </w:tblPr>
      <w:tblGrid>
        <w:gridCol w:w="3960"/>
        <w:gridCol w:w="3960"/>
      </w:tblGrid>
      <w:tr>
        <w:tc>
          <w:tcPr/>
          <w:p>
            <w:pPr>
              <w:pStyle w:val="BodyText"/>
            </w:pPr>
            <w:r>
              <w:t xml:space="preserve">Cenário</w:t>
            </w:r>
          </w:p>
        </w:tc>
        <w:tc>
          <w:tcPr/>
          <w:p>
            <w:pPr>
              <w:pStyle w:val="BodyText"/>
            </w:pPr>
            <w:r>
              <w:t xml:space="preserve">O sistema de vulnerabilidade dos dispositivos da equipe de TI precisa ser automaticamente notificado quando uma nova vulnerabilidade é adicionada, para atualizar corretamente a interface do usuário.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Ação</w:t>
            </w:r>
          </w:p>
        </w:tc>
        <w:tc>
          <w:tcPr/>
          <w:p>
            <w:pPr>
              <w:pStyle w:val="BodyText"/>
            </w:pPr>
            <w:r>
              <w:t xml:space="preserve">Um usuário da com direitos administrativos cria um modelo de notificação XML. Campos específicos são selecionados para serem exibidos na Linha de assunto e Corpo do modelo. A frequência de envio é Instantâneo e o destinatário é o endereço de e-mail do sistema de vulnerabilidade dos dispositivos. Os critérios de filtro são "vulnerabilidade" no campo Texto.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Resultado</w:t>
            </w:r>
          </w:p>
        </w:tc>
        <w:tc>
          <w:tcPr/>
          <w:p>
            <w:pPr>
              <w:pStyle w:val="BodyText"/>
            </w:pPr>
            <w:r>
              <w:t xml:space="preserve">Sempre que uma nova vulnerabilidade é importada para a</w:t>
            </w:r>
            <w:r>
              <w:t xml:space="preserve"> </w:t>
            </w:r>
            <w:r>
              <w:t xml:space="preserve">Archer</w:t>
            </w:r>
            <w:r>
              <w:t xml:space="preserve">, é enviada uma notificação ao sistema de vulnerabilidade de dispositivos em um formato XML.</w:t>
            </w:r>
          </w:p>
        </w:tc>
      </w:tr>
    </w:tbl>
    <w:bookmarkEnd w:id="21"/>
    <w:bookmarkStart w:id="22" w:name="ElementosdenotificaçõesXML"/>
    <w:p>
      <w:pPr>
        <w:pStyle w:val="Heading2"/>
      </w:pPr>
      <w:r>
        <w:t xml:space="preserve">Elementos de notificações XML</w:t>
      </w:r>
    </w:p>
    <w:p>
      <w:pPr>
        <w:pStyle w:val="TableCaption"/>
      </w:pPr>
      <w:r>
        <w:t xml:space="preserve">A tabela a seguir descreve os elementos de uma notificação XML.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os elementos de uma notificação XML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Elemento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Layout</w:t>
            </w:r>
          </w:p>
        </w:tc>
        <w:tc>
          <w:tcPr/>
          <w:p>
            <w:pPr>
              <w:pStyle w:val="BodyText"/>
            </w:pPr>
            <w:r>
              <w:t xml:space="preserve">Não aplicável a notificações XML.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Conteúdo</w:t>
            </w:r>
          </w:p>
        </w:tc>
        <w:tc>
          <w:tcPr/>
          <w:p>
            <w:pPr>
              <w:pStyle w:val="BodyText"/>
            </w:pPr>
            <w:r>
              <w:t xml:space="preserve">Somente os campos estão incluídos na Linha de assunto e Corpo das notificações.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Destinatário</w:t>
            </w:r>
          </w:p>
        </w:tc>
        <w:tc>
          <w:tcPr/>
          <w:p>
            <w:pPr>
              <w:pStyle w:val="BodyText"/>
            </w:pPr>
            <w:r>
              <w:t xml:space="preserve">Os endereços de e-mail dos destinatários são informados manualmente. Vários endereços de e-mail são separados por ponto e vírgula. Os endereços de e-mail especificados como destinatários recebem todas as notificações geradas pelo modelo de notificação.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Assinatura</w:t>
            </w:r>
          </w:p>
        </w:tc>
        <w:tc>
          <w:tcPr/>
          <w:p>
            <w:pPr>
              <w:pStyle w:val="BodyText"/>
            </w:pPr>
            <w:r>
              <w:t xml:space="preserve">Os destinatários não podem se inscrever ou cancelar a inscrição para recebimento de notificações. O tipo de inscrição é definido no modelo da notificação.</w:t>
            </w:r>
          </w:p>
        </w:tc>
      </w:tr>
    </w:tbl>
    <w:bookmarkEnd w:id="22"/>
    <w:bookmarkStart w:id="33" w:name="AdicionarumanotificaçãoXML"/>
    <w:p>
      <w:pPr>
        <w:pStyle w:val="Heading2"/>
      </w:pPr>
      <w:r>
        <w:t xml:space="preserve">Adicionar uma notificação XML</w:t>
      </w:r>
    </w:p>
    <w:p>
      <w:pPr>
        <w:numPr>
          <w:ilvl w:val="0"/>
          <w:numId w:val="1002"/>
        </w:numPr>
      </w:pPr>
      <w:r>
        <w:t xml:space="preserve">Vá para a guia Geral da página Gerenciar notificações XML.</w:t>
      </w:r>
    </w:p>
    <w:p>
      <w:pPr>
        <w:pStyle w:val="Compact"/>
        <w:numPr>
          <w:ilvl w:val="1"/>
          <w:numId w:val="1003"/>
        </w:numPr>
      </w:pPr>
      <w:r>
        <w:t xml:space="preserve">No menu, clique em</w:t>
      </w:r>
      <w:r>
        <w:t xml:space="preserve"> </w:t>
      </w:r>
      <w:r>
        <w:drawing>
          <wp:inline>
            <wp:extent cx="269507" cy="250256"/>
            <wp:effectExtent b="0" l="0" r="0" t="0"/>
            <wp:docPr descr="menu Admin" title="menu Admin" id="24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31f7c6b295086b246633fe5c4c9ff093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07" cy="250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</w:t>
      </w:r>
    </w:p>
    <w:p>
      <w:pPr>
        <w:pStyle w:val="Compact"/>
        <w:numPr>
          <w:ilvl w:val="1"/>
          <w:numId w:val="1003"/>
        </w:numPr>
      </w:pPr>
      <w:r>
        <w:t xml:space="preserve">Na lista Notificações, clique em Notificações XML.</w:t>
      </w:r>
    </w:p>
    <w:p>
      <w:pPr>
        <w:pStyle w:val="Compact"/>
        <w:numPr>
          <w:ilvl w:val="0"/>
          <w:numId w:val="1002"/>
        </w:numPr>
      </w:pPr>
      <w:r>
        <w:t xml:space="preserve">Clique em Adicionar novo e execute 1 dos procedimentos a seguir:</w:t>
      </w:r>
    </w:p>
    <w:p>
      <w:pPr>
        <w:pStyle w:val="Compact"/>
        <w:numPr>
          <w:ilvl w:val="1"/>
          <w:numId w:val="1004"/>
        </w:numPr>
      </w:pPr>
      <w:r>
        <w:t xml:space="preserve">Para criar uma notificação XML totalmente nova, clique em Criar uma notificação XML.</w:t>
      </w:r>
    </w:p>
    <w:p>
      <w:pPr>
        <w:pStyle w:val="Compact"/>
        <w:numPr>
          <w:ilvl w:val="1"/>
          <w:numId w:val="1004"/>
        </w:numPr>
      </w:pPr>
      <w:r>
        <w:t xml:space="preserve">Para criar uma notificação XML a partir de uma notificação existente, clique em Copiar uma notificação XML existente e selecione a notificação desejada.</w:t>
      </w:r>
    </w:p>
    <w:p>
      <w:pPr>
        <w:pStyle w:val="Compact"/>
        <w:numPr>
          <w:ilvl w:val="0"/>
          <w:numId w:val="1002"/>
        </w:numPr>
      </w:pPr>
      <w:r>
        <w:t xml:space="preserve">Clique em OK.</w:t>
      </w:r>
    </w:p>
    <w:p>
      <w:pPr>
        <w:pStyle w:val="Compact"/>
        <w:numPr>
          <w:ilvl w:val="0"/>
          <w:numId w:val="1002"/>
        </w:numPr>
      </w:pPr>
      <w:r>
        <w:t xml:space="preserve">Na seção Informações gerais, informe o nome e a descrição da notificação, bem como a pasta na qual deseja armazenar a notificação.</w:t>
      </w:r>
    </w:p>
    <w:p>
      <w:pPr>
        <w:pStyle w:val="Compact"/>
        <w:numPr>
          <w:ilvl w:val="0"/>
          <w:numId w:val="1002"/>
        </w:numPr>
      </w:pPr>
      <w:r>
        <w:t xml:space="preserve">Clique na guia Conteúdo e adicione o conteúdo a ser exibido na notificação.</w:t>
      </w:r>
    </w:p>
    <w:p>
      <w:pPr>
        <w:numPr>
          <w:ilvl w:val="1"/>
          <w:numId w:val="1005"/>
        </w:numPr>
      </w:pPr>
      <w:r>
        <w:t xml:space="preserve">Na linha Assunto, informe o texto ou campo que você deseja incluir como assunto desta notificação.</w:t>
      </w:r>
    </w:p>
    <w:p>
      <w:pPr>
        <w:numPr>
          <w:ilvl w:val="1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Você não pode incluir os seguintes campos na linha de assunto: Anexo, Rastreamento de status entre aplicativos, Imagem, Permissões de registro, Subformulário, Referência de questionário, Histórico de acesso e Registro do histórico.</w:t>
      </w:r>
    </w:p>
    <w:p>
      <w:pPr>
        <w:pStyle w:val="Compact"/>
        <w:numPr>
          <w:ilvl w:val="1"/>
          <w:numId w:val="1005"/>
        </w:numPr>
      </w:pPr>
      <w:r>
        <w:t xml:space="preserve">No campo Corpo, selecione os campos a serem incluídos nesta notificação.</w:t>
      </w:r>
    </w:p>
    <w:p>
      <w:pPr>
        <w:numPr>
          <w:ilvl w:val="0"/>
          <w:numId w:val="1002"/>
        </w:numPr>
      </w:pPr>
      <w:r>
        <w:t xml:space="preserve">Clique na guia Entrega e informe as propriedades de e-mail para esta notificação.</w:t>
      </w:r>
    </w:p>
    <w:p>
      <w:pPr>
        <w:pStyle w:val="Compact"/>
        <w:numPr>
          <w:ilvl w:val="1"/>
          <w:numId w:val="1006"/>
        </w:numPr>
      </w:pPr>
      <w:r>
        <w:t xml:space="preserve">No campo Endereço do remetente, digite o endereço de e-mail do qual esta notificação será enviada.</w:t>
      </w:r>
    </w:p>
    <w:p>
      <w:pPr>
        <w:pStyle w:val="Compact"/>
        <w:numPr>
          <w:ilvl w:val="1"/>
          <w:numId w:val="1006"/>
        </w:numPr>
      </w:pPr>
      <w:r>
        <w:t xml:space="preserve">(Opcional) No campo Alias do remetente, digite o nome que você deseja usar como o remetente do e-mail.</w:t>
      </w:r>
    </w:p>
    <w:p>
      <w:pPr>
        <w:pStyle w:val="Compact"/>
        <w:numPr>
          <w:ilvl w:val="1"/>
          <w:numId w:val="1006"/>
        </w:numPr>
      </w:pPr>
      <w:r>
        <w:t xml:space="preserve">(Opcional) No campo Importância, selecione o status deseja associar este e-mail: Normal, Alto, Baixo.</w:t>
      </w:r>
    </w:p>
    <w:p>
      <w:pPr>
        <w:pStyle w:val="Compact"/>
        <w:numPr>
          <w:ilvl w:val="1"/>
          <w:numId w:val="1006"/>
        </w:numPr>
      </w:pPr>
      <w:r>
        <w:t xml:space="preserve">(Opcional) Em Confirmação de leitura, selecione se uma confirmação é enviada após a notificação ser aberta pelo destinatário.</w:t>
      </w:r>
    </w:p>
    <w:p>
      <w:pPr>
        <w:pStyle w:val="Compact"/>
        <w:numPr>
          <w:ilvl w:val="1"/>
          <w:numId w:val="1000"/>
        </w:numPr>
      </w:pPr>
      <w:r>
        <w:t xml:space="preserve">Se você deseja receber a confirmação, selecione Ativar aviso de recebimento.</w:t>
      </w:r>
      <w:r>
        <w:br/>
      </w:r>
      <w:r>
        <w:t xml:space="preserve">Para novas notificações, preencha os campos obrigatórios e salve a notificação antes de selecionar Ativar aviso de recebimento.</w:t>
      </w:r>
    </w:p>
    <w:p>
      <w:pPr>
        <w:numPr>
          <w:ilvl w:val="0"/>
          <w:numId w:val="1002"/>
        </w:numPr>
      </w:pPr>
      <w:r>
        <w:t xml:space="preserve">Na seção Agendamento de entrega, defina a frequência e os valores correspondentes para o envio desta notificação.</w:t>
      </w:r>
    </w:p>
    <w:p>
      <w:pPr>
        <w:pStyle w:val="Compact"/>
        <w:numPr>
          <w:ilvl w:val="1"/>
          <w:numId w:val="1007"/>
        </w:numPr>
      </w:pPr>
      <w:r>
        <w:t xml:space="preserve">No campo Recorrente, selecione o período em que você deseja enviar a notificação: Sua seleção determina o que fazer em seguida.</w:t>
      </w:r>
    </w:p>
    <w:p>
      <w:pPr>
        <w:pStyle w:val="Compact"/>
        <w:numPr>
          <w:ilvl w:val="1"/>
          <w:numId w:val="1007"/>
        </w:numPr>
      </w:pPr>
      <w:r>
        <w:t xml:space="preserve">Digite os valores apropriados para a frequência que você selecionou.</w:t>
      </w:r>
    </w:p>
    <w:p>
      <w:pPr>
        <w:pStyle w:val="Compact"/>
      </w:pPr>
      <w:r>
        <w:t xml:space="preserve">A tabela a seguir lista as ações para cada frequência.</w:t>
      </w:r>
    </w:p>
    <w:tbl>
      <w:tblPr>
        <w:tblStyle w:val="Table"/>
        <w:tblW w:type="auto" w:w="0"/>
        <w:jc w:val="left"/>
        <w:tblInd w:w="1440" w:type="dxa"/>
        <w:tblLook w:firstRow="1" w:lastRow="0" w:firstColumn="0" w:lastColumn="0" w:noHBand="0" w:noVBand="0" w:val="0020"/>
        <w:tblCaption w:val="A tabela a seguir lista as ações para cada frequência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Frequência</w:t>
            </w:r>
          </w:p>
        </w:tc>
        <w:tc>
          <w:tcPr/>
          <w:p>
            <w:pPr>
              <w:pStyle w:val="BodyText"/>
            </w:pPr>
            <w:r>
              <w:t xml:space="preserve">Ação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Instantâneo</w:t>
            </w:r>
          </w:p>
        </w:tc>
        <w:tc>
          <w:tcPr/>
          <w:p>
            <w:pPr>
              <w:pStyle w:val="BodyText"/>
            </w:pPr>
            <w:r>
              <w:t xml:space="preserve">Vá para a próxima etapa.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Diário</w:t>
            </w:r>
          </w:p>
        </w:tc>
        <w:tc>
          <w:tcPr/>
          <w:p>
            <w:pPr>
              <w:pStyle w:val="Compact"/>
              <w:numPr>
                <w:ilvl w:val="0"/>
                <w:numId w:val="1008"/>
              </w:numPr>
            </w:pPr>
            <w:r>
              <w:t xml:space="preserve">Em Hora, defina a hora em que deseja enviar a notificação.</w:t>
            </w:r>
          </w:p>
          <w:p>
            <w:pPr>
              <w:pStyle w:val="Compact"/>
              <w:numPr>
                <w:ilvl w:val="0"/>
                <w:numId w:val="1008"/>
              </w:numPr>
            </w:pPr>
            <w:r>
              <w:t xml:space="preserve">Em Fuso horário, selecione o fuso horário UTC (Coordinated Universal Time).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Semanalmente</w:t>
            </w:r>
          </w:p>
        </w:tc>
        <w:tc>
          <w:tcPr/>
          <w:p>
            <w:pPr>
              <w:pStyle w:val="Compact"/>
              <w:numPr>
                <w:ilvl w:val="0"/>
                <w:numId w:val="1009"/>
              </w:numPr>
            </w:pPr>
            <w:r>
              <w:t xml:space="preserve">No Dia, selecione o dia da semana que deseja enviar a notificação.</w:t>
            </w:r>
          </w:p>
          <w:p>
            <w:pPr>
              <w:pStyle w:val="Compact"/>
              <w:numPr>
                <w:ilvl w:val="0"/>
                <w:numId w:val="1009"/>
              </w:numPr>
            </w:pPr>
            <w:r>
              <w:t xml:space="preserve">Em Hora, defina a hora em que deseja enviar a notificação.</w:t>
            </w:r>
          </w:p>
          <w:p>
            <w:pPr>
              <w:pStyle w:val="Compact"/>
              <w:numPr>
                <w:ilvl w:val="0"/>
                <w:numId w:val="1009"/>
              </w:numPr>
            </w:pPr>
            <w:r>
              <w:t xml:space="preserve">Em Fuso horário, selecione o fuso horário UTC (Coordinated Universal Time).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Mensalmente</w:t>
            </w:r>
          </w:p>
        </w:tc>
        <w:tc>
          <w:tcPr/>
          <w:p>
            <w:pPr>
              <w:pStyle w:val="Compact"/>
              <w:numPr>
                <w:ilvl w:val="0"/>
                <w:numId w:val="1010"/>
              </w:numPr>
            </w:pPr>
            <w:r>
              <w:t xml:space="preserve">Em Dia, selecione o dia do mês (1 a 31) que deseja enviar a notificação. Como nem todos os meses têm 31 dias, talvez você queira 28 ou anterior.</w:t>
            </w:r>
          </w:p>
          <w:p>
            <w:pPr>
              <w:pStyle w:val="Compact"/>
              <w:numPr>
                <w:ilvl w:val="0"/>
                <w:numId w:val="1010"/>
              </w:numPr>
            </w:pPr>
            <w:r>
              <w:t xml:space="preserve">Em Hora, defina a hora em que deseja enviar a notificação.</w:t>
            </w:r>
          </w:p>
          <w:p>
            <w:pPr>
              <w:pStyle w:val="Compact"/>
              <w:numPr>
                <w:ilvl w:val="0"/>
                <w:numId w:val="1010"/>
              </w:numPr>
            </w:pPr>
            <w:r>
              <w:t xml:space="preserve">Em Fuso horário, selecione o fuso horário UTC (Coordinated Universal Time).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Trimestralmente</w:t>
            </w:r>
          </w:p>
        </w:tc>
        <w:tc>
          <w:tcPr/>
          <w:p>
            <w:pPr>
              <w:pStyle w:val="Compact"/>
              <w:numPr>
                <w:ilvl w:val="0"/>
                <w:numId w:val="1011"/>
              </w:numPr>
            </w:pPr>
            <w:r>
              <w:t xml:space="preserve">Em Hora, defina a hora em que deseja enviar a notificação.</w:t>
            </w:r>
          </w:p>
          <w:p>
            <w:pPr>
              <w:numPr>
                <w:ilvl w:val="0"/>
                <w:numId w:val="1011"/>
              </w:numPr>
            </w:pPr>
            <w:r>
              <w:t xml:space="preserve">Em Fuso horário, selecione o fuso horário UTC (Coordinated Universal Time).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b/>
                <w:bCs/>
              </w:rPr>
              <w:t xml:space="preserve">Observação:</w:t>
            </w:r>
            <w:r>
              <w:t xml:space="preserve"> </w:t>
            </w:r>
            <w:r>
              <w:t xml:space="preserve">Uma notificação trimestral é enviada no primeiro dia de janeiro, abril, julho e outubro.</w:t>
            </w:r>
          </w:p>
        </w:tc>
      </w:tr>
      <w:tr>
        <w:tc>
          <w:tcPr/>
          <w:p>
            <w:pPr>
              <w:pStyle w:val="FirstParagraph"/>
            </w:pPr>
            <w:hyperlink r:id="rId26">
              <w:r>
                <w:rPr>
                  <w:rStyle w:val="Hyperlink"/>
                </w:rPr>
                <w:t xml:space="preserve">Lembrete</w:t>
              </w:r>
            </w:hyperlink>
          </w:p>
        </w:tc>
        <w:tc>
          <w:tcPr/>
          <w:p>
            <w:pPr>
              <w:pStyle w:val="Compact"/>
              <w:numPr>
                <w:ilvl w:val="0"/>
                <w:numId w:val="1012"/>
              </w:numPr>
            </w:pPr>
            <w:r>
              <w:t xml:space="preserve">Em Hora, defina a hora em que deseja enviar a notificação.</w:t>
            </w:r>
          </w:p>
          <w:p>
            <w:pPr>
              <w:pStyle w:val="Compact"/>
              <w:numPr>
                <w:ilvl w:val="0"/>
                <w:numId w:val="1012"/>
              </w:numPr>
            </w:pPr>
            <w:r>
              <w:t xml:space="preserve">Em Fuso horário, selecione o fuso horário UTC (Coordinated Universal Time).</w:t>
            </w:r>
          </w:p>
          <w:p>
            <w:pPr>
              <w:pStyle w:val="Compact"/>
              <w:numPr>
                <w:ilvl w:val="0"/>
                <w:numId w:val="1012"/>
              </w:numPr>
            </w:pPr>
            <w:r>
              <w:t xml:space="preserve">Em Critério, faça o seguinte:</w:t>
            </w:r>
          </w:p>
          <w:p>
            <w:pPr>
              <w:pStyle w:val="Compact"/>
              <w:numPr>
                <w:ilvl w:val="1"/>
                <w:numId w:val="1013"/>
              </w:numPr>
            </w:pPr>
            <w:r>
              <w:t xml:space="preserve">Em Nome do campo, selecione o campo de data a ser usado para a avaliação da condição de filtragem.</w:t>
            </w:r>
          </w:p>
          <w:p>
            <w:pPr>
              <w:pStyle w:val="Compact"/>
              <w:numPr>
                <w:ilvl w:val="1"/>
                <w:numId w:val="1013"/>
              </w:numPr>
            </w:pPr>
            <w:r>
              <w:t xml:space="preserve">Em Operador, selecione o operador aplicável, Igual, Diferente, Menor que ou Maior que.</w:t>
            </w:r>
          </w:p>
          <w:p>
            <w:pPr>
              <w:pStyle w:val="Compact"/>
              <w:numPr>
                <w:ilvl w:val="1"/>
                <w:numId w:val="1013"/>
              </w:numPr>
            </w:pPr>
            <w:r>
              <w:t xml:space="preserve">Em Dias, selecione o número de dias para avaliar a ocorrência.</w:t>
            </w:r>
          </w:p>
          <w:p>
            <w:pPr>
              <w:pStyle w:val="Compact"/>
              <w:numPr>
                <w:ilvl w:val="1"/>
                <w:numId w:val="1013"/>
              </w:numPr>
            </w:pPr>
            <w:r>
              <w:t xml:space="preserve">Em Destino, selecione Data posterior ou Data anterior.</w:t>
            </w:r>
          </w:p>
          <w:p>
            <w:pPr>
              <w:pStyle w:val="Compact"/>
              <w:numPr>
                <w:ilvl w:val="0"/>
                <w:numId w:val="1012"/>
              </w:numPr>
            </w:pPr>
            <w:r>
              <w:t xml:space="preserve">(Opcional) Para adicionar outra condição, clique em Adicionar novo e repita as etapas para adicionar critérios.</w:t>
            </w:r>
          </w:p>
          <w:p>
            <w:pPr>
              <w:pStyle w:val="Compact"/>
              <w:numPr>
                <w:ilvl w:val="0"/>
                <w:numId w:val="1012"/>
              </w:numPr>
            </w:pPr>
            <w:r>
              <w:t xml:space="preserve">(Opcional) Para excluir uma linha de critérios, na coluna Ações, clique em</w:t>
            </w:r>
            <w:r>
              <w:t xml:space="preserve"> </w:t>
            </w:r>
            <w:r>
              <w:drawing>
                <wp:inline>
                  <wp:extent cx="253573" cy="230521"/>
                  <wp:effectExtent b="0" l="0" r="0" t="0"/>
                  <wp:docPr descr="Remover" title="" id="28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00198637c0db142beeddb760cdab14de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573" cy="2305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.</w:t>
            </w:r>
          </w:p>
        </w:tc>
      </w:tr>
    </w:tbl>
    <w:p>
      <w:pPr>
        <w:numPr>
          <w:ilvl w:val="1"/>
          <w:numId w:val="1007"/>
        </w:numPr>
      </w:pPr>
      <w:r>
        <w:t xml:space="preserve">Em Conteúdo do digest publicado, selecione uma das seguintes opções para os registros que atenderem aos critérios de filtro de notificação especificados e que tiverem sido gerados ou alterados dentro do período de tempo, conforme definido pelas configurações de frequência e horário:</w:t>
      </w:r>
    </w:p>
    <w:p>
      <w:pPr>
        <w:numPr>
          <w:ilvl w:val="1"/>
          <w:numId w:val="1000"/>
        </w:numPr>
      </w:pPr>
      <w:r>
        <w:rPr>
          <w:b/>
          <w:bCs/>
        </w:rPr>
        <w:t xml:space="preserve">Importante:</w:t>
      </w:r>
      <w:r>
        <w:t xml:space="preserve"> </w:t>
      </w:r>
      <w:r>
        <w:t xml:space="preserve">Se você fizer alterações nesse filtro, essas alterações não serão aplicadas a nenhuma notificação atualmente na fila.</w:t>
      </w:r>
    </w:p>
    <w:p>
      <w:pPr>
        <w:pStyle w:val="Compact"/>
        <w:numPr>
          <w:ilvl w:val="2"/>
          <w:numId w:val="1014"/>
        </w:numPr>
      </w:pPr>
      <w:r>
        <w:t xml:space="preserve">Selecione Qualquer versão para incluir todos os registros que tenham atendido aos critérios de filtro desde o último digest enviado.</w:t>
      </w:r>
    </w:p>
    <w:p>
      <w:pPr>
        <w:pStyle w:val="Compact"/>
        <w:numPr>
          <w:ilvl w:val="2"/>
          <w:numId w:val="1014"/>
        </w:numPr>
      </w:pPr>
      <w:r>
        <w:t xml:space="preserve">Selecione Somente versão atual para incluir registros não enviados que atenderam aos critérios de filtro novos e anteriores.</w:t>
      </w:r>
    </w:p>
    <w:p>
      <w:pPr>
        <w:numPr>
          <w:ilvl w:val="0"/>
          <w:numId w:val="1002"/>
        </w:numPr>
      </w:pPr>
      <w:r>
        <w:t xml:space="preserve">Na seção Destinatários, informe a lista de usuários ou grupos que receberão esta notificação.</w:t>
      </w:r>
    </w:p>
    <w:p>
      <w:pPr>
        <w:numPr>
          <w:ilvl w:val="0"/>
          <w:numId w:val="1000"/>
        </w:numPr>
      </w:pPr>
      <w:r>
        <w:t xml:space="preserve">Os destinatários podem ser uma lista dinâmica ou estática com base no tipo de notificação. Uma lista dinâmica é baseado nos valores de uma lista Usuários e grupos e nas permissões de registro ou em um endereço de e-mail armazenado em um campo.</w:t>
      </w:r>
    </w:p>
    <w:p>
      <w:pPr>
        <w:numPr>
          <w:ilvl w:val="0"/>
          <w:numId w:val="1000"/>
        </w:numPr>
      </w:pPr>
      <w:r>
        <w:t xml:space="preserve">Faça o seguinte para Para, CC e Cco:</w:t>
      </w:r>
    </w:p>
    <w:p>
      <w:pPr>
        <w:pStyle w:val="Compact"/>
        <w:numPr>
          <w:ilvl w:val="1"/>
          <w:numId w:val="1015"/>
        </w:numPr>
      </w:pPr>
      <w:r>
        <w:t xml:space="preserve">(Opcional) Em Dinâmico, execute uma ou mais das seguintes ações:</w:t>
      </w:r>
    </w:p>
    <w:p>
      <w:pPr>
        <w:pStyle w:val="Compact"/>
        <w:numPr>
          <w:ilvl w:val="2"/>
          <w:numId w:val="1016"/>
        </w:numPr>
      </w:pPr>
      <w:r>
        <w:t xml:space="preserve">Expanda a árvore Groups e selecione os grupos que você deseja receber a notificação.</w:t>
      </w:r>
    </w:p>
    <w:p>
      <w:pPr>
        <w:pStyle w:val="Compact"/>
        <w:numPr>
          <w:ilvl w:val="2"/>
          <w:numId w:val="1016"/>
        </w:numPr>
      </w:pPr>
      <w:r>
        <w:t xml:space="preserve">Expanda a árvore Users e selecione os usuários que devem receber a notificação.</w:t>
      </w:r>
    </w:p>
    <w:p>
      <w:pPr>
        <w:pStyle w:val="Compact"/>
        <w:numPr>
          <w:ilvl w:val="2"/>
          <w:numId w:val="1016"/>
        </w:numPr>
      </w:pPr>
      <w:r>
        <w:t xml:space="preserve">Expanda a árvore Campos e selecione os campos contendo o destinatário dinâmico baseado em permissões de registro ou em um endereço de e-mail.</w:t>
      </w:r>
    </w:p>
    <w:p>
      <w:pPr>
        <w:pStyle w:val="Compact"/>
        <w:numPr>
          <w:ilvl w:val="1"/>
          <w:numId w:val="1015"/>
        </w:numPr>
      </w:pPr>
      <w:r>
        <w:t xml:space="preserve">Clique em Aplicar.</w:t>
      </w:r>
    </w:p>
    <w:p>
      <w:pPr>
        <w:numPr>
          <w:ilvl w:val="0"/>
          <w:numId w:val="1002"/>
        </w:numPr>
      </w:pPr>
      <w:r>
        <w:t xml:space="preserve">Clique na guia Critérios de filtro e informe os filtros que deseja aplicar a esta notificação.</w:t>
      </w:r>
    </w:p>
    <w:p>
      <w:pPr>
        <w:numPr>
          <w:ilvl w:val="0"/>
          <w:numId w:val="1000"/>
        </w:numPr>
      </w:pPr>
      <w:r>
        <w:t xml:space="preserve">Apenas os registros que atenderem aos critérios especificados farão com que uma notificação seja gerada.</w:t>
      </w:r>
    </w:p>
    <w:p>
      <w:pPr>
        <w:pStyle w:val="Compact"/>
        <w:numPr>
          <w:ilvl w:val="1"/>
          <w:numId w:val="1017"/>
        </w:numPr>
      </w:pPr>
      <w:r>
        <w:t xml:space="preserve">No campo Nome do campo, selecione o campo de base da avaliação.</w:t>
      </w:r>
    </w:p>
    <w:p>
      <w:pPr>
        <w:numPr>
          <w:ilvl w:val="1"/>
          <w:numId w:val="1017"/>
        </w:numPr>
      </w:pPr>
      <w:r>
        <w:t xml:space="preserve">No campo Operador, selecione o operador aplicável para avaliação dos valores.</w:t>
      </w:r>
    </w:p>
    <w:p>
      <w:pPr>
        <w:numPr>
          <w:ilvl w:val="1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Os operadores Modificado e Modificado de não são suportados para Notificações de Lembretes.</w:t>
      </w:r>
    </w:p>
    <w:p>
      <w:pPr>
        <w:pStyle w:val="Compact"/>
        <w:numPr>
          <w:ilvl w:val="1"/>
          <w:numId w:val="1017"/>
        </w:numPr>
      </w:pPr>
      <w:r>
        <w:t xml:space="preserve">Em Valores, selecione os valores apropriados com base no campo especificado e clique em OK.</w:t>
      </w:r>
    </w:p>
    <w:p>
      <w:pPr>
        <w:pStyle w:val="Compact"/>
        <w:numPr>
          <w:ilvl w:val="1"/>
          <w:numId w:val="1017"/>
        </w:numPr>
      </w:pPr>
      <w:r>
        <w:t xml:space="preserve">(Opcional) Para adicionar uma linha para critérios adicionais, clique em Adicionar novo</w:t>
      </w:r>
      <w:r>
        <w:t xml:space="preserve"> </w:t>
      </w:r>
      <w:r>
        <w:drawing>
          <wp:inline>
            <wp:extent cx="159860" cy="159860"/>
            <wp:effectExtent b="0" l="0" r="0" t="0"/>
            <wp:docPr descr="Adicionar" title="Adicionar" id="31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1dc3e069a03d67e67e4cf90f046cd0e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60" cy="159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e repita as etapas a – c.</w:t>
      </w:r>
    </w:p>
    <w:p>
      <w:pPr>
        <w:pStyle w:val="Compact"/>
        <w:numPr>
          <w:ilvl w:val="1"/>
          <w:numId w:val="1017"/>
        </w:numPr>
      </w:pPr>
      <w:r>
        <w:t xml:space="preserve">(Opcional) Para adicionar uma lógica de operador avançado, no campo Lógica de operador avançado, digite a expressão.</w:t>
      </w:r>
    </w:p>
    <w:p>
      <w:pPr>
        <w:numPr>
          <w:ilvl w:val="0"/>
          <w:numId w:val="1002"/>
        </w:numPr>
      </w:pPr>
      <w:r>
        <w:t xml:space="preserve">Clique em Salvar ou Aplicar.</w:t>
      </w:r>
    </w:p>
    <w:p>
      <w:pPr>
        <w:pStyle w:val="Compact"/>
        <w:numPr>
          <w:ilvl w:val="1"/>
          <w:numId w:val="1018"/>
        </w:numPr>
      </w:pPr>
      <w:r>
        <w:t xml:space="preserve">Clique em Salvar para salvar e sair.</w:t>
      </w:r>
    </w:p>
    <w:p>
      <w:pPr>
        <w:pStyle w:val="Compact"/>
        <w:numPr>
          <w:ilvl w:val="1"/>
          <w:numId w:val="1018"/>
        </w:numPr>
      </w:pPr>
      <w:r>
        <w:t xml:space="preserve">Clique em Aplicar para aplicar as alterações e continuar trabalhando.</w:t>
      </w:r>
    </w:p>
    <w:bookmarkEnd w:id="33"/>
    <w:bookmarkEnd w:id="34"/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701">
    <w:nsid w:val="00A9970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501">
    <w:nsid w:val="00A99501"/>
    <w:multiLevelType w:val="multilevel"/>
    <w:lvl w:ilvl="0">
      <w:start w:val="1"/>
      <w:numFmt w:val="lowerRoman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lowerRoman"/>
      <w:lvlText w:val="%4."/>
      <w:lvlJc w:val="left"/>
      <w:pPr>
        <w:ind w:left="2880" w:hanging="360"/>
      </w:pPr>
    </w:lvl>
    <w:lvl w:ilvl="4">
      <w:start w:val="1"/>
      <w:numFmt w:val="lowerRoman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lowerRoman"/>
      <w:lvlText w:val="%7."/>
      <w:lvlJc w:val="left"/>
      <w:pPr>
        <w:ind w:left="5040" w:hanging="360"/>
      </w:pPr>
    </w:lvl>
    <w:lvl w:ilvl="7">
      <w:start w:val="1"/>
      <w:numFmt w:val="lowerRoman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5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23" Target="media/rId23.png" /><Relationship Type="http://schemas.openxmlformats.org/officeDocument/2006/relationships/hyperlink" Id="rId26" Target="note_reminder_notifications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note_reminder_notifications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2025-03-06T16:28:28Z</dcterms:created>
  <dcterms:modified xsi:type="dcterms:W3CDTF">2025-03-06T16:28:28Z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