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sintaxe-de-mala-direta-1"/>
    <w:p>
      <w:pPr>
        <w:pStyle w:val="Heading1"/>
      </w:pPr>
      <w:bookmarkStart w:id="20" w:name="aanchor258"/>
      <w:bookmarkEnd w:id="20"/>
      <w:r>
        <w:t xml:space="preserve"> </w:t>
      </w:r>
      <w:r>
        <w:t xml:space="preserve">Sintaxe de Mala Direta</w:t>
      </w:r>
    </w:p>
    <w:p>
      <w:pPr>
        <w:pStyle w:val="FirstParagraph"/>
      </w:pPr>
      <w:r>
        <w:t xml:space="preserve">Tipos de campo diferentes requerem sintaxe de código diferente ao criar um modelo de exportação de Mala direta.</w:t>
      </w:r>
    </w:p>
    <w:p>
      <w:pPr>
        <w:pStyle w:val="BodyText"/>
      </w:pPr>
      <w:r>
        <w:t xml:space="preserve">Por exemplo, você poderá incluir aplicativos de referência cruzada e subformulários no código de Mala direta para receber dados de registros relacionados caso eles sejam delimitados por TableStart e TableEnd. Já um campo numérico não precisa de nenhuma sintaxe especial.</w:t>
      </w:r>
    </w:p>
    <w:p>
      <w:pPr>
        <w:pStyle w:val="BodyText"/>
      </w:pPr>
      <w:r>
        <w:t xml:space="preserve">Os atributos aplicados a um campo também podem afetar a sintaxe do código de mala direta.</w:t>
      </w:r>
    </w:p>
    <w:p>
      <w:pPr>
        <w:pStyle w:val="BodyText"/>
      </w:pPr>
      <w:r>
        <w:t xml:space="preserve">Por exemplo, um campo de texto não requer sintaxe especial, mas uma área de texto que permita formatação de texto precisa da sintaxe do código para dar suporte a HTML.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aliases de aplicativos de referência cruzada ou subformulários precisam ser provenientes do campo no aplicativo de origem, e não do alias do próprio aplicativo de referência cruzada.</w:t>
      </w:r>
    </w:p>
    <w:bookmarkStart w:id="21" w:name="formatação-da-sintaxe"/>
    <w:p>
      <w:pPr>
        <w:pStyle w:val="Heading2"/>
      </w:pPr>
      <w:r>
        <w:t xml:space="preserve">Formatação da sintaxe</w:t>
      </w:r>
    </w:p>
    <w:p>
      <w:pPr>
        <w:pStyle w:val="FirstParagraph"/>
      </w:pPr>
      <w:r>
        <w:t xml:space="preserve">Você pode optar por exibir o próprio código de Mala direta ou a saída do código. Lembre-se de atualizar os dois lados do código usando F9.</w:t>
      </w:r>
    </w:p>
    <w:p>
      <w:pPr>
        <w:pStyle w:val="BodyText"/>
      </w:pPr>
      <w:r>
        <w:t xml:space="preserve">Pressione [Alt]+[F9] para exibir a sintaxe do código e a saída do código.</w:t>
      </w:r>
    </w:p>
    <w:p>
      <w:pPr>
        <w:pStyle w:val="TableCaption"/>
      </w:pPr>
      <w:r>
        <w:t xml:space="preserve">A tabela a seguir mostra a sintaxe do código de mala direta e a saída do código para cada tipo de campo. Quando o controle de exibição não afeta a sintaxe do código, o Atributo do campo fica em branco.</w:t>
      </w:r>
    </w:p>
    <w:p>
      <w:pPr>
        <w:pStyle w:val="TableCaption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formatos de data exibidos (MMMM, d, aaaa e M/d/aaaa) são intercambiáveis nos campos de data. Não é preciso exibir apenas datas suspensas no formato fornecido nesses exemplos.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sintaxe do código de mala direta e a saída do código para cada tipo de campo. Quando o controle de exibição não afeta a sintaxe do código, o Atributo do campo fica em branco.Observação: Os formatos de data exibidos (MMMM, d, aaaa e M/d/aaaa) são intercambiáveis nos campos de data. Não é preciso exibir apenas datas suspensas no formato fornecido nesses exempl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Atributo do campo (controle de exibição)</w:t>
            </w:r>
          </w:p>
        </w:tc>
        <w:tc>
          <w:tcPr/>
          <w:p>
            <w:pPr>
              <w:pStyle w:val="BodyText"/>
            </w:pPr>
            <w:r>
              <w:t xml:space="preserve">Sintaxe do código</w:t>
            </w:r>
          </w:p>
        </w:tc>
        <w:tc>
          <w:tcPr/>
          <w:p>
            <w:pPr>
              <w:pStyle w:val="Compact"/>
            </w:pPr>
            <w:r>
              <w:t xml:space="preserve">Saída do código (pressione [Alt]+[F9] para visualizar o outro lado)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TableStart:Attachment \* MERGEFORMAT }{ MERGEFIELD Id \* MERGEFORMAT },{ MERGEFIELD Name \* MERGEFORMAT },{ MERGEFIELD Description \* MERGEFORMAT }{ MERGEFIELD TableEnd:Attachment \* MERGEFORMAT }</w:t>
            </w:r>
          </w:p>
        </w:tc>
        <w:tc>
          <w:tcPr/>
          <w:p>
            <w:pPr>
              <w:pStyle w:val="BodyText"/>
            </w:pPr>
            <w:r>
              <w:t xml:space="preserve">&lt;&lt;TableStart: Attachment_Grid &gt;&gt;&lt;&lt;Value&gt;&gt;, &lt;&lt;Value&gt;&gt; , &lt;&lt;Value&gt;&gt; &lt;&lt;TableEnd: Attachment_Grid&gt;&gt;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ID do anexo (lista)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List:Attachment.Id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Nome do anexo (com marcadores)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List:Attachment.Name \!list Bullet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Descrição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List:Attachment.Description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Tamanho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List:Attachment.Length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Data do sistema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List:Attachment.SystemDate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Downloads de anexos (numerados)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List:Attachment.Downloads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do 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Attachment.Data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cruzada, Registro relacionado ou Subformulário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TableStart:Cross_Reference_Field_Alias }{ MERGEFIELD Field_Alias }{ MERGEFIELD TableEnd:Cross_Reference_Field_Alias }</w:t>
            </w:r>
          </w:p>
        </w:tc>
        <w:tc>
          <w:tcPr/>
          <w:p>
            <w:pPr>
              <w:pStyle w:val="BodyText"/>
            </w:pPr>
            <w:r>
              <w:t xml:space="preserve">&lt;&lt;TableStart:Cross_Reference_Field_Alias&gt;&gt;&lt;&lt;Field_Alias&gt;&gt;&lt;&lt;TableEnd:Cross_Reference_Field_Alias&gt;&gt;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Data e hora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 h:mm:ss am/pm”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Lista suspensa -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“M/d/yyyy”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 externo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List:External_Link_Alias.Name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&lt;&lt;List:External_Link_Alias.Name&gt;&gt;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First_Published_Date_Alias.Date }</w:t>
            </w:r>
          </w:p>
        </w:tc>
        <w:tc>
          <w:tcPr/>
          <w:p>
            <w:pPr>
              <w:pStyle w:val="BodyText"/>
            </w:pPr>
            <w:r>
              <w:t xml:space="preserve">&lt;&lt;First_Published_Date_Alias.Date&gt;&gt;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IP_Address_Field_Alias }</w:t>
            </w:r>
          </w:p>
        </w:tc>
        <w:tc>
          <w:tcPr/>
          <w:p>
            <w:pPr>
              <w:pStyle w:val="BodyText"/>
            </w:pPr>
            <w:r>
              <w:t xml:space="preserve">&lt;&lt;IP_Address_Field_Alias&gt;&gt;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_Alias.Date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_Alias.UserName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Numeric_Field_Alias }</w:t>
            </w:r>
          </w:p>
        </w:tc>
        <w:tc>
          <w:tcPr/>
          <w:p>
            <w:pPr>
              <w:pStyle w:val="BodyText"/>
            </w:pPr>
            <w:r>
              <w:t xml:space="preserve">&lt;&lt;Numeric_Field_Alias&gt;&gt;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Record_Status }</w:t>
            </w:r>
          </w:p>
        </w:tc>
        <w:tc>
          <w:tcPr/>
          <w:p>
            <w:pPr>
              <w:pStyle w:val="BodyText"/>
            </w:pPr>
            <w:r>
              <w:t xml:space="preserve">&lt;&lt;Record_Status&gt;&gt;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 ou Usuários/grupos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List:Record_Permission_Alias.DisplayName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&lt;&lt;List:Record_Permission_Alias.DisplayName 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Recusar a solicitação?</w:t>
            </w:r>
          </w:p>
        </w:tc>
        <w:tc>
          <w:tcPr/>
          <w:p>
            <w:pPr>
              <w:pStyle w:val="BodyText"/>
            </w:pPr>
            <w:r>
              <w:t xml:space="preserve">{ MERGEFIELD Text_Field_Alias }</w:t>
            </w:r>
          </w:p>
        </w:tc>
        <w:tc>
          <w:tcPr/>
          <w:p>
            <w:pPr>
              <w:pStyle w:val="BodyText"/>
            </w:pPr>
            <w:r>
              <w:t xml:space="preserve">&lt;&lt;Text_Field_Alias&gt;&gt;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{ MERGEFIELD Text_Area_Alias \!format “html:Text_Field_Alias”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&lt;&lt;Text_Area_Alias&gt;&gt;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Tracking_ID_Alias }</w:t>
            </w:r>
          </w:p>
        </w:tc>
        <w:tc>
          <w:tcPr/>
          <w:p>
            <w:pPr>
              <w:pStyle w:val="BodyText"/>
            </w:pPr>
            <w:r>
              <w:t xml:space="preserve">&lt;&lt;Tracking_ID_Alias&gt;&gt;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List:Values_List_Alias.Value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&lt;&lt;List:Values_List_Alias.Value&gt;&gt;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Voting_Alias }</w:t>
            </w:r>
          </w:p>
        </w:tc>
        <w:tc>
          <w:tcPr/>
          <w:p>
            <w:pPr>
              <w:pStyle w:val="BodyText"/>
            </w:pPr>
            <w:r>
              <w:t xml:space="preserve">&lt;&lt;Voting_Alias&gt;&gt;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2025-03-06T16:29:28Z</dcterms:created>
  <dcterms:modified xsi:type="dcterms:W3CDTF">2025-03-06T16:29:28Z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