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mc-main-content"/>
    <w:bookmarkStart w:id="44" w:name="feeds-de-dados-1"/>
    <w:p>
      <w:pPr>
        <w:pStyle w:val="Heading1"/>
      </w:pPr>
      <w:bookmarkStart w:id="20" w:name="aanchor167"/>
      <w:bookmarkEnd w:id="20"/>
      <w:r>
        <w:t xml:space="preserve"> </w:t>
      </w:r>
      <w:r>
        <w:t xml:space="preserve">Feeds de dados</w:t>
      </w:r>
    </w:p>
    <w:p>
      <w:pPr>
        <w:pStyle w:val="FirstParagraph"/>
      </w:pPr>
      <w:r>
        <w:t xml:space="preserve">O gerenciador do alimentador de dados é uma ferramenta flexível e sem codificação, para agregação de dados no</w:t>
      </w:r>
      <w:r>
        <w:t xml:space="preserve"> </w:t>
      </w:r>
      <w:r>
        <w:t xml:space="preserve">Archer</w:t>
      </w:r>
      <w:r>
        <w:t xml:space="preserve">. Use a ferramenta para:</w:t>
      </w:r>
    </w:p>
    <w:p>
      <w:pPr>
        <w:pStyle w:val="Compact"/>
        <w:numPr>
          <w:ilvl w:val="0"/>
          <w:numId w:val="1001"/>
        </w:numPr>
      </w:pPr>
      <w:r>
        <w:t xml:space="preserve">Configurar vários feeds de dados dinâmicos e gerenciar esses feeds sem depender de recursos de programação.</w:t>
      </w:r>
    </w:p>
    <w:p>
      <w:pPr>
        <w:pStyle w:val="Compact"/>
        <w:numPr>
          <w:ilvl w:val="0"/>
          <w:numId w:val="1001"/>
        </w:numPr>
      </w:pPr>
      <w:r>
        <w:t xml:space="preserve">Criar e configurar integrações dinâmicas com sistemas e arquivos corporativos externos. No Gerenciador do alimentador de dados, é possível criar um caminho de transporte entre</w:t>
      </w:r>
      <w:r>
        <w:t xml:space="preserve"> </w:t>
      </w:r>
      <w:r>
        <w:t xml:space="preserve">Archer</w:t>
      </w:r>
      <w:r>
        <w:t xml:space="preserve"> </w:t>
      </w:r>
      <w:r>
        <w:t xml:space="preserve">e uma origem externa e, em seguida, mapear os dados dessa origem para um aplicativo ou questionário de destino existente no</w:t>
      </w:r>
      <w:r>
        <w:t xml:space="preserve"> </w:t>
      </w:r>
      <w:r>
        <w:t xml:space="preserve">Archer</w:t>
      </w:r>
      <w:r>
        <w:t xml:space="preserve">.</w:t>
      </w:r>
    </w:p>
    <w:p>
      <w:pPr>
        <w:pStyle w:val="Compact"/>
        <w:numPr>
          <w:ilvl w:val="0"/>
          <w:numId w:val="1001"/>
        </w:numPr>
      </w:pPr>
      <w:r>
        <w:t xml:space="preserve">Configurar o feed de dados para ser executado com base em agendamento. Após a configuração inicial, o feed de dados é executado automaticamente sem necessidade de intervenção de sua parte.</w:t>
      </w:r>
    </w:p>
    <w:p>
      <w:pPr>
        <w:pStyle w:val="FirstParagraph"/>
      </w:pPr>
      <w:r>
        <w:t xml:space="preserve">Você pode integrar os dados usando o Gerenciador do alimentador de dados para:</w:t>
      </w:r>
    </w:p>
    <w:p>
      <w:pPr>
        <w:pStyle w:val="Compact"/>
        <w:numPr>
          <w:ilvl w:val="0"/>
          <w:numId w:val="1002"/>
        </w:numPr>
      </w:pPr>
      <w:r>
        <w:t xml:space="preserve">Dados de detecção de rede e ativos</w:t>
      </w:r>
    </w:p>
    <w:p>
      <w:pPr>
        <w:pStyle w:val="Compact"/>
        <w:numPr>
          <w:ilvl w:val="0"/>
          <w:numId w:val="1002"/>
        </w:numPr>
      </w:pPr>
      <w:r>
        <w:t xml:space="preserve">Resultados da análise de vulnerabilidades</w:t>
      </w:r>
    </w:p>
    <w:p>
      <w:pPr>
        <w:pStyle w:val="Compact"/>
        <w:numPr>
          <w:ilvl w:val="0"/>
          <w:numId w:val="1002"/>
        </w:numPr>
      </w:pPr>
      <w:r>
        <w:t xml:space="preserve">Pontuações de desempenho</w:t>
      </w:r>
    </w:p>
    <w:p>
      <w:pPr>
        <w:pStyle w:val="Compact"/>
        <w:numPr>
          <w:ilvl w:val="0"/>
          <w:numId w:val="1002"/>
        </w:numPr>
      </w:pPr>
      <w:r>
        <w:t xml:space="preserve">Relatórios de incidentes</w:t>
      </w:r>
    </w:p>
    <w:p>
      <w:pPr>
        <w:pStyle w:val="Compact"/>
        <w:numPr>
          <w:ilvl w:val="0"/>
          <w:numId w:val="1002"/>
        </w:numPr>
      </w:pPr>
      <w:r>
        <w:t xml:space="preserve">Resultados de auditoria e recomendações</w:t>
      </w:r>
    </w:p>
    <w:p>
      <w:pPr>
        <w:pStyle w:val="FirstParagraph"/>
      </w:pPr>
      <w:r>
        <w:t xml:space="preserve">Como a</w:t>
      </w:r>
      <w:r>
        <w:t xml:space="preserve"> </w:t>
      </w:r>
      <w:r>
        <w:t xml:space="preserve">Archer</w:t>
      </w:r>
      <w:r>
        <w:t xml:space="preserve"> </w:t>
      </w:r>
      <w:r>
        <w:t xml:space="preserve">é independente de fornecedor e conteúdo, você pode usar</w:t>
      </w:r>
      <w:r>
        <w:t xml:space="preserve"> </w:t>
      </w:r>
      <w:r>
        <w:t xml:space="preserve">Archer</w:t>
      </w:r>
      <w:r>
        <w:t xml:space="preserve"> </w:t>
      </w:r>
      <w:r>
        <w:t xml:space="preserve">como ponto de consolidação de dados corporativos de todos os tipos para análise de suporte e gerenciamento de processos. Com uma visualização centralizada dos dados de soluções pontuais, bancos de dados, planilhas e outras origens, você pode acessar mais facilmente o conteúdo relevante às suas funções de trabalho. Realoque os dados para dar suporte a vários processos de negócio.</w:t>
      </w:r>
    </w:p>
    <w:p>
      <w:pPr>
        <w:pStyle w:val="BodyText"/>
      </w:pPr>
      <w:r>
        <w:t xml:space="preserve">O feed de dados deve estar ativo e ser válido para ser executado. À medida que você configura seu feed de dados, o gerenciador do feed de dados valida as informações. Se ele não for válido, uma mensagem de erro será exibida. Você pode salvar o feed de dados e corrigir os erros posteriormente. No entanto, ele não será processado até os erros serem corrigidos e ele ser validado.</w:t>
      </w:r>
    </w:p>
    <w:p>
      <w:pPr>
        <w:pStyle w:val="BodyText"/>
      </w:pPr>
      <w:r>
        <w:t xml:space="preserve">Nesta página</w:t>
      </w:r>
    </w:p>
    <w:p>
      <w:pPr>
        <w:pStyle w:val="Compact"/>
        <w:numPr>
          <w:ilvl w:val="0"/>
          <w:numId w:val="1003"/>
        </w:numPr>
      </w:pPr>
      <w:hyperlink w:anchor="Tiposdefeeddedados">
        <w:r>
          <w:rPr>
            <w:rStyle w:val="Hyperlink"/>
          </w:rPr>
          <w:t xml:space="preserve">Tipos de feed de dados</w:t>
        </w:r>
      </w:hyperlink>
    </w:p>
    <w:p>
      <w:pPr>
        <w:pStyle w:val="Compact"/>
        <w:numPr>
          <w:ilvl w:val="0"/>
          <w:numId w:val="1003"/>
        </w:numPr>
      </w:pPr>
      <w:hyperlink w:anchor="Tiposdetransportadordofeeddedados">
        <w:r>
          <w:rPr>
            <w:rStyle w:val="Hyperlink"/>
          </w:rPr>
          <w:t xml:space="preserve">Tipos de transportador do feed de dados</w:t>
        </w:r>
      </w:hyperlink>
    </w:p>
    <w:p>
      <w:pPr>
        <w:pStyle w:val="Compact"/>
        <w:numPr>
          <w:ilvl w:val="0"/>
          <w:numId w:val="1003"/>
        </w:numPr>
      </w:pPr>
      <w:hyperlink w:anchor="Xbce1f2f0c9d69d2a0d9a205fd8364bda9df2a55">
        <w:r>
          <w:rPr>
            <w:rStyle w:val="Hyperlink"/>
          </w:rPr>
          <w:t xml:space="preserve">Tipos de campo compatíveis e não compatíveis para mapeamento de dados</w:t>
        </w:r>
      </w:hyperlink>
    </w:p>
    <w:p>
      <w:pPr>
        <w:pStyle w:val="Compact"/>
        <w:numPr>
          <w:ilvl w:val="1"/>
          <w:numId w:val="1004"/>
        </w:numPr>
      </w:pPr>
      <w:hyperlink w:anchor="Tiposdecampocompat%C3%ADveis">
        <w:r>
          <w:rPr>
            <w:rStyle w:val="Hyperlink"/>
          </w:rPr>
          <w:t xml:space="preserve">Tipos de campo compatíveis</w:t>
        </w:r>
      </w:hyperlink>
    </w:p>
    <w:p>
      <w:pPr>
        <w:pStyle w:val="Compact"/>
        <w:numPr>
          <w:ilvl w:val="1"/>
          <w:numId w:val="1004"/>
        </w:numPr>
      </w:pPr>
      <w:hyperlink w:anchor="Tiposdecamposn%C3%A3ocompat%C3%ADveis">
        <w:r>
          <w:rPr>
            <w:rStyle w:val="Hyperlink"/>
          </w:rPr>
          <w:t xml:space="preserve">Tipos de campos não compatíveis</w:t>
        </w:r>
      </w:hyperlink>
    </w:p>
    <w:p>
      <w:pPr>
        <w:pStyle w:val="Compact"/>
        <w:numPr>
          <w:ilvl w:val="0"/>
          <w:numId w:val="1003"/>
        </w:numPr>
      </w:pPr>
      <w:hyperlink w:anchor="Origensdoesquema">
        <w:r>
          <w:rPr>
            <w:rStyle w:val="Hyperlink"/>
          </w:rPr>
          <w:t xml:space="preserve">Origens do esquema</w:t>
        </w:r>
      </w:hyperlink>
    </w:p>
    <w:p>
      <w:pPr>
        <w:pStyle w:val="Compact"/>
        <w:numPr>
          <w:ilvl w:val="0"/>
          <w:numId w:val="1003"/>
        </w:numPr>
      </w:pPr>
      <w:hyperlink w:anchor="Atualizandoregistrosbloqueados">
        <w:r>
          <w:rPr>
            <w:rStyle w:val="Hyperlink"/>
          </w:rPr>
          <w:t xml:space="preserve">Atualizando registros bloqueados</w:t>
        </w:r>
      </w:hyperlink>
    </w:p>
    <w:p>
      <w:pPr>
        <w:pStyle w:val="Compact"/>
        <w:numPr>
          <w:ilvl w:val="0"/>
          <w:numId w:val="1003"/>
        </w:numPr>
      </w:pPr>
      <w:hyperlink w:anchor="Camposchave">
        <w:r>
          <w:rPr>
            <w:rStyle w:val="Hyperlink"/>
          </w:rPr>
          <w:t xml:space="preserve">Campos-chave</w:t>
        </w:r>
      </w:hyperlink>
    </w:p>
    <w:p>
      <w:pPr>
        <w:pStyle w:val="Compact"/>
        <w:numPr>
          <w:ilvl w:val="1"/>
          <w:numId w:val="1005"/>
        </w:numPr>
      </w:pPr>
      <w:hyperlink w:anchor="Xa5449a1b5c3cbb5f80e10c8cd9195fcb96ec427">
        <w:r>
          <w:rPr>
            <w:rStyle w:val="Hyperlink"/>
          </w:rPr>
          <w:t xml:space="preserve">Chaves simples e chaves de combinação</w:t>
        </w:r>
      </w:hyperlink>
    </w:p>
    <w:p>
      <w:pPr>
        <w:pStyle w:val="Compact"/>
        <w:numPr>
          <w:ilvl w:val="1"/>
          <w:numId w:val="1005"/>
        </w:numPr>
      </w:pPr>
      <w:hyperlink w:anchor="Usodev%C3%A1riaschaves">
        <w:r>
          <w:rPr>
            <w:rStyle w:val="Hyperlink"/>
          </w:rPr>
          <w:t xml:space="preserve">Uso de várias chaves</w:t>
        </w:r>
      </w:hyperlink>
    </w:p>
    <w:p>
      <w:pPr>
        <w:pStyle w:val="Compact"/>
        <w:numPr>
          <w:ilvl w:val="1"/>
          <w:numId w:val="1005"/>
        </w:numPr>
      </w:pPr>
      <w:hyperlink w:anchor="X8d1ff34aba5c388a9dbf3a6e6a1077f0bd07fc6">
        <w:r>
          <w:rPr>
            <w:rStyle w:val="Hyperlink"/>
          </w:rPr>
          <w:t xml:space="preserve">Critérios de correspondência para tipos de campo baseados em lista</w:t>
        </w:r>
      </w:hyperlink>
    </w:p>
    <w:p>
      <w:pPr>
        <w:pStyle w:val="Compact"/>
        <w:numPr>
          <w:ilvl w:val="0"/>
          <w:numId w:val="1003"/>
        </w:numPr>
      </w:pPr>
      <w:hyperlink w:anchor="Contadeservi%C3%A7odofeeddedados">
        <w:r>
          <w:rPr>
            <w:rStyle w:val="Hyperlink"/>
          </w:rPr>
          <w:t xml:space="preserve">Conta de serviço do feed de dados</w:t>
        </w:r>
      </w:hyperlink>
    </w:p>
    <w:p>
      <w:pPr>
        <w:pStyle w:val="Compact"/>
        <w:numPr>
          <w:ilvl w:val="0"/>
          <w:numId w:val="1003"/>
        </w:numPr>
      </w:pPr>
      <w:hyperlink w:anchor="Comunica%C3%A7%C3%A3odofeeddedados">
        <w:r>
          <w:rPr>
            <w:rStyle w:val="Hyperlink"/>
          </w:rPr>
          <w:t xml:space="preserve">Comunicação do feed de dados</w:t>
        </w:r>
      </w:hyperlink>
    </w:p>
    <w:p>
      <w:pPr>
        <w:pStyle w:val="Compact"/>
        <w:numPr>
          <w:ilvl w:val="0"/>
          <w:numId w:val="1003"/>
        </w:numPr>
      </w:pPr>
      <w:hyperlink w:anchor="TokendofeeddedadosBatchContentSave">
        <w:r>
          <w:rPr>
            <w:rStyle w:val="Hyperlink"/>
          </w:rPr>
          <w:t xml:space="preserve">Token do feed de dados BatchContentSave</w:t>
        </w:r>
      </w:hyperlink>
    </w:p>
    <w:bookmarkStart w:id="21" w:name="Tiposdefeeddedados"/>
    <w:p>
      <w:pPr>
        <w:pStyle w:val="Heading2"/>
      </w:pPr>
      <w:r>
        <w:t xml:space="preserve">Tipos de feed de dados</w:t>
      </w:r>
    </w:p>
    <w:p>
      <w:pPr>
        <w:pStyle w:val="FirstParagraph"/>
      </w:pPr>
      <w:r>
        <w:rPr>
          <w:b/>
          <w:bCs/>
        </w:rPr>
        <w:t xml:space="preserve">Importante:</w:t>
      </w:r>
      <w:r>
        <w:t xml:space="preserve"> </w:t>
      </w:r>
      <w:r>
        <w:t xml:space="preserve"> </w:t>
      </w:r>
      <w:r>
        <w:t xml:space="preserve">Para evitar possíveis conflitos com outros alimentadores de dados, é recomendável que você utilize um usuário de serviço diferente para cada feed de dados. Para mais informações, consulte</w:t>
      </w:r>
      <w:r>
        <w:t xml:space="preserve"> </w:t>
      </w:r>
      <w:hyperlink w:anchor="Data_feed_service_user">
        <w:r>
          <w:rPr>
            <w:rStyle w:val="Hyperlink"/>
          </w:rPr>
          <w:t xml:space="preserve">Conta de serviço de feed de dados</w:t>
        </w:r>
      </w:hyperlink>
      <w:r>
        <w:t xml:space="preserve">.</w:t>
      </w:r>
    </w:p>
    <w:p>
      <w:pPr>
        <w:pStyle w:val="BodyText"/>
      </w:pPr>
      <w:r>
        <w:t xml:space="preserve">O gerenciador do feed de dados dá suporte a feeds de dados padrão e de transferência.</w:t>
      </w:r>
    </w:p>
    <w:p>
      <w:pPr>
        <w:pStyle w:val="TableCaption"/>
      </w:pPr>
      <w:r>
        <w:t xml:space="preserve">A tabela a seguir descreve cada tipo de feed de dados.</w:t>
      </w:r>
    </w:p>
    <w:tbl>
      <w:tblPr>
        <w:tblStyle w:val="Table"/>
        <w:tblW w:type="auto" w:w="0"/>
        <w:tblLook w:firstRow="1" w:lastRow="0" w:firstColumn="0" w:lastColumn="0" w:noHBand="0" w:noVBand="0" w:val="0020"/>
        <w:tblCaption w:val="A tabela a seguir descreve cada tipo de feed de dados."/>
      </w:tblPr>
      <w:tblGrid>
        <w:gridCol w:w="3960"/>
        <w:gridCol w:w="3960"/>
      </w:tblGrid>
      <w:tr>
        <w:trPr>
          <w:tblHeader w:val="on"/>
        </w:trPr>
        <w:tc>
          <w:tcPr/>
          <w:p>
            <w:pPr>
              <w:pStyle w:val="BodyText"/>
            </w:pPr>
            <w:r>
              <w:t xml:space="preserve">Tipo de feed</w:t>
            </w:r>
          </w:p>
        </w:tc>
        <w:tc>
          <w:tcPr/>
          <w:p>
            <w:pPr>
              <w:pStyle w:val="BodyText"/>
            </w:pPr>
            <w:r>
              <w:t xml:space="preserve">Descrição</w:t>
            </w:r>
          </w:p>
        </w:tc>
      </w:tr>
      <w:tr>
        <w:tc>
          <w:tcPr/>
          <w:p>
            <w:pPr>
              <w:pStyle w:val="BodyText"/>
            </w:pPr>
            <w:r>
              <w:t xml:space="preserve">Padrão</w:t>
            </w:r>
          </w:p>
        </w:tc>
        <w:tc>
          <w:tcPr/>
          <w:p>
            <w:pPr>
              <w:pStyle w:val="BodyText"/>
            </w:pPr>
            <w:r>
              <w:t xml:space="preserve">Traz dados de uma origem externa para um aplicativo ou questionário. Esse tipo de feed de dados exige que você:</w:t>
            </w:r>
          </w:p>
          <w:p>
            <w:pPr>
              <w:pStyle w:val="Compact"/>
              <w:numPr>
                <w:ilvl w:val="0"/>
                <w:numId w:val="1006"/>
              </w:numPr>
            </w:pPr>
            <w:r>
              <w:t xml:space="preserve">Defina os campos e o formato dos dados.</w:t>
            </w:r>
          </w:p>
          <w:p>
            <w:pPr>
              <w:pStyle w:val="Compact"/>
              <w:numPr>
                <w:ilvl w:val="0"/>
                <w:numId w:val="1006"/>
              </w:numPr>
            </w:pPr>
            <w:r>
              <w:t xml:space="preserve">Associe ao destino os campos no arquivo de origem.</w:t>
            </w:r>
          </w:p>
          <w:p>
            <w:pPr>
              <w:pStyle w:val="Compact"/>
              <w:numPr>
                <w:ilvl w:val="0"/>
                <w:numId w:val="1006"/>
              </w:numPr>
            </w:pPr>
            <w:r>
              <w:t xml:space="preserve">Configure um tipo de transporte que importe com êxito os dados de origem para outro aplicativo ou questionário. Por exemplo, realize uma pesquisa baseada em relatório para um aplicativo ou questionário que contém os dados de origem que você deseja importar para outro aplicativo ou questionário.</w:t>
            </w:r>
          </w:p>
          <w:p>
            <w:pPr>
              <w:pStyle w:val="Compact"/>
              <w:numPr>
                <w:ilvl w:val="0"/>
                <w:numId w:val="1006"/>
              </w:numPr>
            </w:pPr>
            <w:r>
              <w:t xml:space="preserve">Selecione uma</w:t>
            </w:r>
            <w:r>
              <w:t xml:space="preserve"> </w:t>
            </w:r>
            <w:hyperlink w:anchor="Data_feed_service_user">
              <w:r>
                <w:rPr>
                  <w:rStyle w:val="Hyperlink"/>
                </w:rPr>
                <w:t xml:space="preserve">Conta de serviço de feed de dados.</w:t>
              </w:r>
            </w:hyperlink>
          </w:p>
          <w:p>
            <w:pPr>
              <w:pStyle w:val="FirstParagraph"/>
            </w:pPr>
            <w:r>
              <w:t xml:space="preserve">Você pode especificar o seguinte:</w:t>
            </w:r>
          </w:p>
          <w:p>
            <w:pPr>
              <w:pStyle w:val="Compact"/>
              <w:numPr>
                <w:ilvl w:val="0"/>
                <w:numId w:val="1007"/>
              </w:numPr>
            </w:pPr>
            <w:r>
              <w:t xml:space="preserve">Se deseja enviar notificações de inscrição para usuários ou grupos especificados quando os registros forem modificados.</w:t>
            </w:r>
          </w:p>
          <w:p>
            <w:pPr>
              <w:pStyle w:val="Compact"/>
              <w:numPr>
                <w:ilvl w:val="0"/>
                <w:numId w:val="1007"/>
              </w:numPr>
            </w:pPr>
            <w:r>
              <w:t xml:space="preserve">Se deseja enviar uma notificação para usuários ou grupos especificados quando um trabalho de feed de dados for concluído, identificando uma conclusão com sucesso ou com falha.</w:t>
            </w:r>
          </w:p>
          <w:p>
            <w:pPr>
              <w:pStyle w:val="Compact"/>
              <w:numPr>
                <w:ilvl w:val="0"/>
                <w:numId w:val="1007"/>
              </w:numPr>
            </w:pPr>
            <w:r>
              <w:t xml:space="preserve">O formato da localidade dos seus dados de origem. Por exemplo: é possível usar diferentes caracteres para indicar uma casa decimal.</w:t>
            </w:r>
          </w:p>
        </w:tc>
      </w:tr>
      <w:tr>
        <w:tc>
          <w:tcPr/>
          <w:p>
            <w:pPr>
              <w:pStyle w:val="FirstParagraph"/>
            </w:pPr>
            <w:r>
              <w:t xml:space="preserve">Somente transferência</w:t>
            </w:r>
          </w:p>
        </w:tc>
        <w:tc>
          <w:tcPr/>
          <w:p>
            <w:pPr>
              <w:pStyle w:val="BodyText"/>
            </w:pPr>
            <w:r>
              <w:t xml:space="preserve">Cria o arquivo de dados especificado que os feeds de dados padrão subsequentes podem usar como entrada e que podem ser revisados para entender a estrutura de dados que uma configuração de transporte retorna. Por exemplo, para analisar a configuração do arquivo de saída que um feed de dados HTTP retorna, execute o feed de dados como um feed Apenas transporte. A saída permite determinar como configurar o XSLT para gerar campos de origem a serem usados para mapeamento de dados.</w:t>
            </w:r>
          </w:p>
          <w:p>
            <w:pPr>
              <w:pStyle w:val="Compact"/>
              <w:numPr>
                <w:ilvl w:val="0"/>
                <w:numId w:val="1008"/>
              </w:numPr>
            </w:pPr>
            <w:r>
              <w:t xml:space="preserve">Deve haver uma conta de usuário para o feed de dados e um caminho de destino para o arquivo de dados separado, mas não é necessário ter nenhuma configuração de dados adicional.</w:t>
            </w:r>
          </w:p>
        </w:tc>
      </w:tr>
    </w:tbl>
    <w:bookmarkEnd w:id="21"/>
    <w:bookmarkStart w:id="30" w:name="Tiposdetransportadordofeeddedados"/>
    <w:p>
      <w:pPr>
        <w:pStyle w:val="Heading2"/>
      </w:pPr>
      <w:r>
        <w:t xml:space="preserve">Tipos de transportador do feed de dados</w:t>
      </w:r>
    </w:p>
    <w:p>
      <w:pPr>
        <w:pStyle w:val="FirstParagraph"/>
      </w:pPr>
      <w:r>
        <w:t xml:space="preserve">A arquitetura DFS (Data Feed Service) acomoda a definição de diversos mecanismos de recuperação de dados.</w:t>
      </w:r>
    </w:p>
    <w:p>
      <w:pPr>
        <w:pStyle w:val="TableCaption"/>
      </w:pPr>
      <w:r>
        <w:t xml:space="preserve">A tabela a seguir descreve os transportadores integrados.</w:t>
      </w:r>
    </w:p>
    <w:tbl>
      <w:tblPr>
        <w:tblStyle w:val="Table"/>
        <w:tblW w:type="auto" w:w="0"/>
        <w:tblLook w:firstRow="1" w:lastRow="0" w:firstColumn="0" w:lastColumn="0" w:noHBand="0" w:noVBand="0" w:val="0020"/>
        <w:tblCaption w:val="A tabela a seguir descreve os transportadores integrados."/>
      </w:tblPr>
      <w:tblGrid>
        <w:gridCol w:w="3960"/>
        <w:gridCol w:w="3960"/>
      </w:tblGrid>
      <w:tr>
        <w:trPr>
          <w:tblHeader w:val="on"/>
        </w:trPr>
        <w:tc>
          <w:tcPr/>
          <w:p>
            <w:pPr>
              <w:pStyle w:val="BodyText"/>
            </w:pPr>
            <w:r>
              <w:t xml:space="preserve">Transportador</w:t>
            </w:r>
          </w:p>
        </w:tc>
        <w:tc>
          <w:tcPr/>
          <w:p>
            <w:pPr>
              <w:pStyle w:val="BodyText"/>
            </w:pPr>
            <w:r>
              <w:t xml:space="preserve">Descrição</w:t>
            </w:r>
          </w:p>
        </w:tc>
      </w:tr>
      <w:tr>
        <w:tc>
          <w:tcPr/>
          <w:p>
            <w:pPr>
              <w:pStyle w:val="BodyText"/>
            </w:pPr>
            <w:hyperlink r:id="rId22">
              <w:r>
                <w:rPr>
                  <w:rStyle w:val="Hyperlink"/>
                </w:rPr>
                <w:t xml:space="preserve">Archer Web Services</w:t>
              </w:r>
            </w:hyperlink>
          </w:p>
        </w:tc>
        <w:tc>
          <w:tcPr/>
          <w:p>
            <w:pPr>
              <w:pStyle w:val="BodyText"/>
            </w:pPr>
            <w:r>
              <w:t xml:space="preserve">Avalia o Web Services API e recupera os dados de uma instância de</w:t>
            </w:r>
            <w:r>
              <w:t xml:space="preserve"> </w:t>
            </w:r>
            <w:r>
              <w:t xml:space="preserve">Archer</w:t>
            </w:r>
            <w:r>
              <w:t xml:space="preserve"> </w:t>
            </w:r>
            <w:r>
              <w:t xml:space="preserve">Esse transportador é utilizado em feeds de dados Archer para Archer.</w:t>
            </w:r>
          </w:p>
        </w:tc>
      </w:tr>
      <w:tr>
        <w:tc>
          <w:tcPr/>
          <w:p>
            <w:pPr>
              <w:pStyle w:val="BodyText"/>
            </w:pPr>
            <w:hyperlink r:id="rId23">
              <w:r>
                <w:rPr>
                  <w:rStyle w:val="Hyperlink"/>
                </w:rPr>
                <w:t xml:space="preserve">Database Query</w:t>
              </w:r>
            </w:hyperlink>
          </w:p>
        </w:tc>
        <w:tc>
          <w:tcPr/>
          <w:p>
            <w:pPr>
              <w:pStyle w:val="BodyText"/>
            </w:pPr>
            <w:r>
              <w:t xml:space="preserve">Devolve resultados por uma consulta SQL</w:t>
            </w:r>
          </w:p>
        </w:tc>
      </w:tr>
      <w:tr>
        <w:tc>
          <w:tcPr/>
          <w:p>
            <w:pPr>
              <w:pStyle w:val="BodyText"/>
            </w:pPr>
            <w:hyperlink r:id="rId24">
              <w:r>
                <w:rPr>
                  <w:rStyle w:val="Hyperlink"/>
                </w:rPr>
                <w:t xml:space="preserve">Arquivo</w:t>
              </w:r>
            </w:hyperlink>
          </w:p>
        </w:tc>
        <w:tc>
          <w:tcPr/>
          <w:p>
            <w:pPr>
              <w:pStyle w:val="BodyText"/>
            </w:pPr>
            <w:r>
              <w:t xml:space="preserve">Recupera arquivos de dados delimitados, abrangendo o suporte a manifestos multiarquivos</w:t>
            </w:r>
          </w:p>
        </w:tc>
      </w:tr>
      <w:tr>
        <w:tc>
          <w:tcPr/>
          <w:p>
            <w:pPr>
              <w:pStyle w:val="BodyText"/>
            </w:pPr>
            <w:hyperlink r:id="rId25">
              <w:r>
                <w:rPr>
                  <w:rStyle w:val="Hyperlink"/>
                </w:rPr>
                <w:t xml:space="preserve">FTP</w:t>
              </w:r>
            </w:hyperlink>
          </w:p>
        </w:tc>
        <w:tc>
          <w:tcPr/>
          <w:p>
            <w:pPr>
              <w:pStyle w:val="BodyText"/>
            </w:pPr>
            <w:r>
              <w:t xml:space="preserve">Recupera arquivos de dados utilizando o protocolo FTP</w:t>
            </w:r>
          </w:p>
        </w:tc>
      </w:tr>
      <w:tr>
        <w:tc>
          <w:tcPr/>
          <w:p>
            <w:pPr>
              <w:pStyle w:val="BodyText"/>
            </w:pPr>
            <w:hyperlink r:id="rId26">
              <w:r>
                <w:rPr>
                  <w:rStyle w:val="Hyperlink"/>
                </w:rPr>
                <w:t xml:space="preserve">HTTP</w:t>
              </w:r>
            </w:hyperlink>
          </w:p>
        </w:tc>
        <w:tc>
          <w:tcPr/>
          <w:p>
            <w:pPr>
              <w:pStyle w:val="BodyText"/>
            </w:pPr>
            <w:r>
              <w:t xml:space="preserve">Executa uma ação GET ou POST para recuperar dados de um site HTTP ou HTTPS.</w:t>
            </w:r>
          </w:p>
        </w:tc>
      </w:tr>
      <w:tr>
        <w:tc>
          <w:tcPr/>
          <w:p>
            <w:pPr>
              <w:pStyle w:val="BodyText"/>
            </w:pPr>
            <w:hyperlink r:id="rId27">
              <w:r>
                <w:rPr>
                  <w:rStyle w:val="Hyperlink"/>
                </w:rPr>
                <w:t xml:space="preserve">JavaScript</w:t>
              </w:r>
            </w:hyperlink>
          </w:p>
        </w:tc>
        <w:tc>
          <w:tcPr/>
          <w:p>
            <w:pPr>
              <w:pStyle w:val="BodyText"/>
            </w:pPr>
            <w:r>
              <w:t xml:space="preserve">Executa um arquivo JavaScript fornecido pelo usuário</w:t>
            </w:r>
          </w:p>
          <w:p>
            <w:pPr>
              <w:pStyle w:val="BodyText"/>
            </w:pPr>
            <w:r>
              <w:t xml:space="preserve">Se o resultado dessa execução for um conjunto de dados, ele será transformado e processado na plataforma como de costume.</w:t>
            </w:r>
          </w:p>
        </w:tc>
      </w:tr>
      <w:tr>
        <w:tc>
          <w:tcPr/>
          <w:p>
            <w:pPr>
              <w:pStyle w:val="BodyText"/>
            </w:pPr>
            <w:hyperlink r:id="rId28">
              <w:r>
                <w:rPr>
                  <w:rStyle w:val="Hyperlink"/>
                </w:rPr>
                <w:t xml:space="preserve">Monitoramento de e-mails</w:t>
              </w:r>
            </w:hyperlink>
          </w:p>
        </w:tc>
        <w:tc>
          <w:tcPr/>
          <w:p>
            <w:pPr>
              <w:pStyle w:val="BodyText"/>
            </w:pPr>
            <w:r>
              <w:t xml:space="preserve">Recupera o conteúdo das contas de e-mail monitoradas</w:t>
            </w:r>
          </w:p>
        </w:tc>
      </w:tr>
      <w:tr>
        <w:tc>
          <w:tcPr/>
          <w:p>
            <w:pPr>
              <w:pStyle w:val="BodyText"/>
            </w:pPr>
            <w:hyperlink r:id="rId29">
              <w:r>
                <w:rPr>
                  <w:rStyle w:val="Hyperlink"/>
                </w:rPr>
                <w:t xml:space="preserve">RSS</w:t>
              </w:r>
            </w:hyperlink>
          </w:p>
        </w:tc>
        <w:tc>
          <w:tcPr/>
          <w:p>
            <w:pPr>
              <w:pStyle w:val="BodyText"/>
            </w:pPr>
            <w:r>
              <w:t xml:space="preserve">Recupera registros de um feed RSS configurado</w:t>
            </w:r>
          </w:p>
        </w:tc>
      </w:tr>
    </w:tbl>
    <w:bookmarkEnd w:id="30"/>
    <w:bookmarkStart w:id="33" w:name="X3aa3524f2d4feea3307a0f19239a7ab3dbdc224"/>
    <w:p>
      <w:pPr>
        <w:pStyle w:val="Heading2"/>
      </w:pPr>
      <w:r>
        <w:t xml:space="preserve">Tipos de campo compatíveis e não compatíveis para mapeamento de dados</w:t>
      </w:r>
    </w:p>
    <w:bookmarkStart w:id="31" w:name="Tiposdecampocompatíveis"/>
    <w:p>
      <w:pPr>
        <w:pStyle w:val="Heading3"/>
      </w:pPr>
      <w:r>
        <w:t xml:space="preserve">Tipos de campo compatíveis</w:t>
      </w:r>
    </w:p>
    <w:p>
      <w:pPr>
        <w:pStyle w:val="Compact"/>
        <w:numPr>
          <w:ilvl w:val="0"/>
          <w:numId w:val="1009"/>
        </w:numPr>
      </w:pPr>
      <w:r>
        <w:t xml:space="preserve">Anexo</w:t>
      </w:r>
    </w:p>
    <w:p>
      <w:pPr>
        <w:pStyle w:val="Compact"/>
        <w:numPr>
          <w:ilvl w:val="0"/>
          <w:numId w:val="1009"/>
        </w:numPr>
      </w:pPr>
      <w:r>
        <w:t xml:space="preserve">CAST (detalhe)</w:t>
      </w:r>
    </w:p>
    <w:p>
      <w:pPr>
        <w:pStyle w:val="Compact"/>
        <w:numPr>
          <w:ilvl w:val="0"/>
          <w:numId w:val="1009"/>
        </w:numPr>
      </w:pPr>
      <w:r>
        <w:t xml:space="preserve">Referência cruzada</w:t>
      </w:r>
    </w:p>
    <w:p>
      <w:pPr>
        <w:pStyle w:val="Compact"/>
        <w:numPr>
          <w:ilvl w:val="0"/>
          <w:numId w:val="1009"/>
        </w:numPr>
      </w:pPr>
      <w:r>
        <w:t xml:space="preserve">Data</w:t>
      </w:r>
    </w:p>
    <w:p>
      <w:pPr>
        <w:pStyle w:val="Compact"/>
        <w:numPr>
          <w:ilvl w:val="0"/>
          <w:numId w:val="1009"/>
        </w:numPr>
      </w:pPr>
      <w:r>
        <w:t xml:space="preserve">Links externos</w:t>
      </w:r>
    </w:p>
    <w:p>
      <w:pPr>
        <w:pStyle w:val="Compact"/>
        <w:numPr>
          <w:ilvl w:val="0"/>
          <w:numId w:val="1009"/>
        </w:numPr>
      </w:pPr>
      <w:r>
        <w:t xml:space="preserve">Imagem</w:t>
      </w:r>
    </w:p>
    <w:p>
      <w:pPr>
        <w:pStyle w:val="Compact"/>
        <w:numPr>
          <w:ilvl w:val="0"/>
          <w:numId w:val="1009"/>
        </w:numPr>
      </w:pPr>
      <w:r>
        <w:t xml:space="preserve">Endereço IP</w:t>
      </w:r>
    </w:p>
    <w:p>
      <w:pPr>
        <w:pStyle w:val="Compact"/>
        <w:numPr>
          <w:ilvl w:val="0"/>
          <w:numId w:val="1009"/>
        </w:numPr>
      </w:pPr>
      <w:r>
        <w:t xml:space="preserve">Matriz</w:t>
      </w:r>
    </w:p>
    <w:p>
      <w:pPr>
        <w:pStyle w:val="Compact"/>
        <w:numPr>
          <w:ilvl w:val="0"/>
          <w:numId w:val="1009"/>
        </w:numPr>
      </w:pPr>
      <w:r>
        <w:t xml:space="preserve">Numérico</w:t>
      </w:r>
    </w:p>
    <w:p>
      <w:pPr>
        <w:pStyle w:val="Compact"/>
        <w:numPr>
          <w:ilvl w:val="0"/>
          <w:numId w:val="1009"/>
        </w:numPr>
      </w:pPr>
      <w:r>
        <w:t xml:space="preserve">Permissões de registro</w:t>
      </w:r>
    </w:p>
    <w:p>
      <w:pPr>
        <w:pStyle w:val="Compact"/>
        <w:numPr>
          <w:ilvl w:val="0"/>
          <w:numId w:val="1009"/>
        </w:numPr>
      </w:pPr>
      <w:r>
        <w:t xml:space="preserve">Registros relacionados</w:t>
      </w:r>
    </w:p>
    <w:p>
      <w:pPr>
        <w:pStyle w:val="Compact"/>
        <w:numPr>
          <w:ilvl w:val="0"/>
          <w:numId w:val="1009"/>
        </w:numPr>
      </w:pPr>
      <w:r>
        <w:t xml:space="preserve">Subformulário</w:t>
      </w:r>
    </w:p>
    <w:p>
      <w:pPr>
        <w:pStyle w:val="Compact"/>
        <w:numPr>
          <w:ilvl w:val="0"/>
          <w:numId w:val="1009"/>
        </w:numPr>
      </w:pPr>
      <w:r>
        <w:t xml:space="preserve">Texto</w:t>
      </w:r>
    </w:p>
    <w:p>
      <w:pPr>
        <w:pStyle w:val="Compact"/>
        <w:numPr>
          <w:ilvl w:val="0"/>
          <w:numId w:val="1009"/>
        </w:numPr>
      </w:pPr>
      <w:r>
        <w:t xml:space="preserve">ID de rastreamento</w:t>
      </w:r>
    </w:p>
    <w:p>
      <w:pPr>
        <w:pStyle w:val="Compact"/>
        <w:numPr>
          <w:ilvl w:val="0"/>
          <w:numId w:val="1009"/>
        </w:numPr>
      </w:pPr>
      <w:r>
        <w:t xml:space="preserve">Lista de usuários/grupos</w:t>
      </w:r>
    </w:p>
    <w:p>
      <w:pPr>
        <w:pStyle w:val="Compact"/>
        <w:numPr>
          <w:ilvl w:val="0"/>
          <w:numId w:val="1009"/>
        </w:numPr>
      </w:pPr>
      <w:r>
        <w:t xml:space="preserve">Lista de valores</w:t>
      </w:r>
    </w:p>
    <w:p>
      <w:pPr>
        <w:pStyle w:val="FirstParagraph"/>
      </w:pPr>
      <w:r>
        <w:rPr>
          <w:b/>
          <w:bCs/>
        </w:rPr>
        <w:t xml:space="preserve">Observação:</w:t>
      </w:r>
      <w:r>
        <w:t xml:space="preserve"> </w:t>
      </w:r>
      <w:r>
        <w:t xml:space="preserve">Para lista de usuários/grupos e permissões de registro, para o nome de usuário de entrada de origem, o campo de dados sempre tenta encontrar primeiro uma correspondência na lista de usuários. Se nenhuma correspondência for encontrada, ele tentará localizar uma correspondência na lista de grupos.</w:t>
      </w:r>
    </w:p>
    <w:p>
      <w:pPr>
        <w:pStyle w:val="BodyText"/>
      </w:pPr>
      <w:r>
        <w:rPr>
          <w:b/>
          <w:bCs/>
        </w:rPr>
        <w:t xml:space="preserve">Observação:</w:t>
      </w:r>
      <w:r>
        <w:t xml:space="preserve"> </w:t>
      </w:r>
      <w:r>
        <w:t xml:space="preserve">Os nomes dos campos não devem incluir um ponto (.) se forem usados como referências em cálculos de feed de dados.</w:t>
      </w:r>
    </w:p>
    <w:bookmarkEnd w:id="31"/>
    <w:bookmarkStart w:id="32" w:name="Tiposdecamposnãocompatíveis"/>
    <w:p>
      <w:pPr>
        <w:pStyle w:val="Heading3"/>
      </w:pPr>
      <w:r>
        <w:t xml:space="preserve">Tipos de campos não compatíveis</w:t>
      </w:r>
    </w:p>
    <w:p>
      <w:pPr>
        <w:pStyle w:val="Compact"/>
        <w:numPr>
          <w:ilvl w:val="0"/>
          <w:numId w:val="1010"/>
        </w:numPr>
      </w:pPr>
      <w:r>
        <w:t xml:space="preserve">Histórico de acesso</w:t>
      </w:r>
    </w:p>
    <w:p>
      <w:pPr>
        <w:pStyle w:val="Compact"/>
        <w:numPr>
          <w:ilvl w:val="0"/>
          <w:numId w:val="1010"/>
        </w:numPr>
      </w:pPr>
      <w:r>
        <w:t xml:space="preserve">CAST (pontuação)</w:t>
      </w:r>
    </w:p>
    <w:p>
      <w:pPr>
        <w:pStyle w:val="Compact"/>
        <w:numPr>
          <w:ilvl w:val="0"/>
          <w:numId w:val="1010"/>
        </w:numPr>
      </w:pPr>
      <w:r>
        <w:t xml:space="preserve">Data da primeira publicação</w:t>
      </w:r>
    </w:p>
    <w:p>
      <w:pPr>
        <w:pStyle w:val="Compact"/>
        <w:numPr>
          <w:ilvl w:val="0"/>
          <w:numId w:val="1010"/>
        </w:numPr>
      </w:pPr>
      <w:r>
        <w:t xml:space="preserve">Registro do histórico</w:t>
      </w:r>
    </w:p>
    <w:p>
      <w:pPr>
        <w:pStyle w:val="Compact"/>
        <w:numPr>
          <w:ilvl w:val="0"/>
          <w:numId w:val="1010"/>
        </w:numPr>
      </w:pPr>
      <w:r>
        <w:t xml:space="preserve">Data da última atualização</w:t>
      </w:r>
    </w:p>
    <w:p>
      <w:pPr>
        <w:pStyle w:val="Compact"/>
        <w:numPr>
          <w:ilvl w:val="0"/>
          <w:numId w:val="1010"/>
        </w:numPr>
      </w:pPr>
      <w:r>
        <w:t xml:space="preserve">MRDC (Deve ser preenchido nos campos de referência.)</w:t>
      </w:r>
    </w:p>
    <w:p>
      <w:pPr>
        <w:pStyle w:val="Compact"/>
        <w:numPr>
          <w:ilvl w:val="0"/>
          <w:numId w:val="1010"/>
        </w:numPr>
      </w:pPr>
      <w:r>
        <w:t xml:space="preserve">Status do registro</w:t>
      </w:r>
    </w:p>
    <w:p>
      <w:pPr>
        <w:pStyle w:val="Compact"/>
        <w:numPr>
          <w:ilvl w:val="0"/>
          <w:numId w:val="1010"/>
        </w:numPr>
      </w:pPr>
      <w:r>
        <w:t xml:space="preserve">Agendador</w:t>
      </w:r>
    </w:p>
    <w:p>
      <w:pPr>
        <w:pStyle w:val="Compact"/>
        <w:numPr>
          <w:ilvl w:val="0"/>
          <w:numId w:val="1010"/>
        </w:numPr>
      </w:pPr>
      <w:r>
        <w:t xml:space="preserve">Registro relacionado gerado pelo sistema que aponta para um questionário</w:t>
      </w:r>
    </w:p>
    <w:p>
      <w:pPr>
        <w:pStyle w:val="Compact"/>
        <w:numPr>
          <w:ilvl w:val="0"/>
          <w:numId w:val="1010"/>
        </w:numPr>
      </w:pPr>
      <w:r>
        <w:t xml:space="preserve">Votação</w:t>
      </w:r>
    </w:p>
    <w:bookmarkEnd w:id="32"/>
    <w:bookmarkEnd w:id="33"/>
    <w:bookmarkStart w:id="34" w:name="Origensdoesquema"/>
    <w:p>
      <w:pPr>
        <w:pStyle w:val="Heading2"/>
      </w:pPr>
      <w:r>
        <w:t xml:space="preserve">Origens do esquema</w:t>
      </w:r>
    </w:p>
    <w:p>
      <w:pPr>
        <w:pStyle w:val="TableCaption"/>
      </w:pPr>
      <w:r>
        <w:t xml:space="preserve">A origem do esquema de seu feed de dados depende de qual transportador você está usando. A tabela a seguir identifica e descreve as origens de esquemas que estão disponíveis para cada um dos transportadores integrados.</w:t>
      </w:r>
    </w:p>
    <w:p>
      <w:pPr>
        <w:pStyle w:val="TableCaption"/>
      </w:pPr>
      <w:r>
        <w:rPr>
          <w:b/>
          <w:bCs/>
        </w:rPr>
        <w:t xml:space="preserve">Importante:</w:t>
      </w:r>
      <w:r>
        <w:t xml:space="preserve"> </w:t>
      </w:r>
      <w:r>
        <w:t xml:space="preserve">O processo de carregamento de uma definição de origem para um feed de dados expira em 5 minutos. Você pode considerar usar um conjunto menor de dados de origem ao configurar o feed.</w:t>
      </w:r>
    </w:p>
    <w:tbl>
      <w:tblPr>
        <w:tblStyle w:val="Table"/>
        <w:tblW w:type="auto" w:w="0"/>
        <w:tblLook w:firstRow="1" w:lastRow="0" w:firstColumn="0" w:lastColumn="0" w:noHBand="0" w:noVBand="0" w:val="0020"/>
        <w:tblCaption w:val="A origem do esquema de seu feed de dados depende de qual transportador você está usando. A tabela a seguir identifica e descreve as origens de esquemas que estão disponíveis para cada um dos transportadores integrados.Importante: O processo de carregamento de uma definição de origem para um feed de dados expira em 5 minutos. Você pode considerar usar um conjunto menor de dados de origem ao configurar o feed."/>
      </w:tblPr>
      <w:tblGrid>
        <w:gridCol w:w="3960"/>
        <w:gridCol w:w="3960"/>
      </w:tblGrid>
      <w:tr>
        <w:trPr>
          <w:tblHeader w:val="on"/>
        </w:trPr>
        <w:tc>
          <w:tcPr/>
          <w:p>
            <w:pPr>
              <w:pStyle w:val="BodyText"/>
            </w:pPr>
            <w:r>
              <w:t xml:space="preserve">Origem</w:t>
            </w:r>
          </w:p>
        </w:tc>
        <w:tc>
          <w:tcPr/>
          <w:p>
            <w:pPr>
              <w:pStyle w:val="BodyText"/>
            </w:pPr>
            <w:r>
              <w:t xml:space="preserve">Descrição</w:t>
            </w:r>
          </w:p>
        </w:tc>
      </w:tr>
      <w:tr>
        <w:tc>
          <w:tcPr/>
          <w:p>
            <w:pPr>
              <w:pStyle w:val="BodyText"/>
            </w:pPr>
            <w:r>
              <w:t xml:space="preserve">Executar pesquisa</w:t>
            </w:r>
          </w:p>
        </w:tc>
        <w:tc>
          <w:tcPr/>
          <w:p>
            <w:pPr>
              <w:pStyle w:val="BodyText"/>
            </w:pPr>
            <w:r>
              <w:t xml:space="preserve">Executa a pesquisa na</w:t>
            </w:r>
            <w:r>
              <w:t xml:space="preserve"> </w:t>
            </w:r>
            <w:r>
              <w:t xml:space="preserve">Archer</w:t>
            </w:r>
            <w:r>
              <w:t xml:space="preserve"> </w:t>
            </w:r>
            <w:r>
              <w:t xml:space="preserve">e detecta o esquema da origem nos resultados</w:t>
            </w:r>
          </w:p>
          <w:p>
            <w:pPr>
              <w:pStyle w:val="BodyText"/>
            </w:pPr>
            <w:r>
              <w:t xml:space="preserve">Abordagem recomendada para um feed de dados Archer-to-Archer. Carrega os campos de origem diretamente do relatório. Ao usar esse esquema, preencha todas as informações necessárias nas guias Transporte e Navegação.</w:t>
            </w:r>
          </w:p>
        </w:tc>
      </w:tr>
      <w:tr>
        <w:tc>
          <w:tcPr/>
          <w:p>
            <w:pPr>
              <w:pStyle w:val="BodyText"/>
            </w:pPr>
            <w:r>
              <w:t xml:space="preserve">Executar consulta</w:t>
            </w:r>
          </w:p>
        </w:tc>
        <w:tc>
          <w:tcPr/>
          <w:p>
            <w:pPr>
              <w:pStyle w:val="BodyText"/>
            </w:pPr>
            <w:r>
              <w:t xml:space="preserve">Executa a consulta especificada na guia Transporte e detecta o esquema da origem no conjunto de registros resultante</w:t>
            </w:r>
          </w:p>
          <w:p>
            <w:pPr>
              <w:pStyle w:val="BodyText"/>
            </w:pPr>
            <w:r>
              <w:t xml:space="preserve">A utilização desta opção pode acionar ações no banco de dados associado à consulta.</w:t>
            </w:r>
          </w:p>
        </w:tc>
      </w:tr>
      <w:tr>
        <w:tc>
          <w:tcPr/>
          <w:p>
            <w:pPr>
              <w:pStyle w:val="BodyText"/>
            </w:pPr>
            <w:r>
              <w:t xml:space="preserve">Arquivo de amostra</w:t>
            </w:r>
          </w:p>
        </w:tc>
        <w:tc>
          <w:tcPr/>
          <w:p>
            <w:pPr>
              <w:pStyle w:val="BodyText"/>
            </w:pPr>
            <w:r>
              <w:t xml:space="preserve">Utiliza um esqueleto de seu arquivo de dados de origem real. Por exemplo, se você está importando dados de um arquivo .csv, o arquivo de dados de origem é um arquivo .csv que inclui os nomes das colunas de seus dados de origem. Se você está importando dados de um arquivo .XML, o arquivo de dados de origem inclui a estrutura de seu arquivo .XML sem os valores reais de campo.</w:t>
            </w:r>
          </w:p>
          <w:p>
            <w:pPr>
              <w:pStyle w:val="BodyText"/>
            </w:pPr>
            <w:r>
              <w:t xml:space="preserve">Quando você seleciona o arquivo de amostra, a seção Campos de origem é preenchida com os campos especificados no arquivo de dados de amostra.</w:t>
            </w:r>
          </w:p>
          <w:p>
            <w:pPr>
              <w:pStyle w:val="BodyText"/>
            </w:pPr>
            <w:r>
              <w:t xml:space="preserve">Para o Archer Web Services Transporter do</w:t>
            </w:r>
            <w:r>
              <w:t xml:space="preserve"> </w:t>
            </w:r>
            <w:r>
              <w:t xml:space="preserve">Archer</w:t>
            </w:r>
            <w:r>
              <w:t xml:space="preserve">, selecione um arquivo de um local externo contendo os dados no formato igual ao formato do relatório.</w:t>
            </w:r>
          </w:p>
        </w:tc>
      </w:tr>
      <w:tr>
        <w:tc>
          <w:tcPr/>
          <w:p>
            <w:pPr>
              <w:pStyle w:val="BodyText"/>
            </w:pPr>
            <w:r>
              <w:t xml:space="preserve">Carregar URL</w:t>
            </w:r>
          </w:p>
        </w:tc>
        <w:tc>
          <w:tcPr/>
          <w:p>
            <w:pPr>
              <w:pStyle w:val="BodyText"/>
            </w:pPr>
            <w:r>
              <w:t xml:space="preserve">Carrega o conteúdo da URL de destino e detecta o esquema da origem nesse conteúdo</w:t>
            </w:r>
          </w:p>
          <w:p>
            <w:pPr>
              <w:pStyle w:val="BodyText"/>
            </w:pPr>
            <w:r>
              <w:t xml:space="preserve">A utilização desta opção pode acionar ações associadas ao acesso da URL de destino.</w:t>
            </w:r>
          </w:p>
        </w:tc>
      </w:tr>
      <w:tr>
        <w:tc>
          <w:tcPr/>
          <w:p>
            <w:pPr>
              <w:pStyle w:val="BodyText"/>
            </w:pPr>
            <w:r>
              <w:t xml:space="preserve">Esquema padrão</w:t>
            </w:r>
          </w:p>
        </w:tc>
        <w:tc>
          <w:tcPr/>
          <w:p>
            <w:pPr>
              <w:pStyle w:val="BodyText"/>
            </w:pPr>
            <w:r>
              <w:t xml:space="preserve">Utiliza o esquema de e-mail padrão</w:t>
            </w:r>
          </w:p>
        </w:tc>
      </w:tr>
    </w:tbl>
    <w:bookmarkEnd w:id="34"/>
    <w:bookmarkStart w:id="35" w:name="Atualizandoregistrosbloqueados"/>
    <w:p>
      <w:pPr>
        <w:pStyle w:val="Heading2"/>
      </w:pPr>
      <w:r>
        <w:t xml:space="preserve">Atualizando registros bloqueados</w:t>
      </w:r>
    </w:p>
    <w:p>
      <w:pPr>
        <w:pStyle w:val="FirstParagraph"/>
      </w:pPr>
      <w:r>
        <w:t xml:space="preserve">Archer</w:t>
      </w:r>
      <w:r>
        <w:t xml:space="preserve"> </w:t>
      </w:r>
      <w:r>
        <w:t xml:space="preserve">tem um recurso importante que impede e a atualização ou alteração de um registro bloqueado. Um registro se torna bloqueado quando um usuário o abre no modo de edição para fins de modificação.</w:t>
      </w:r>
    </w:p>
    <w:p>
      <w:pPr>
        <w:pStyle w:val="BodyText"/>
      </w:pPr>
      <w:r>
        <w:t xml:space="preserve">No entanto, é importante observar que os registros poderão ser atualizados por meio das APIs REST e da Web, bem como pelos feeds de dados, mesmo quando um usuário os tiver bloqueado. A seguir há exemplos de APIs típicas que podem atualizar registros bloqueados pelo usuário:</w:t>
      </w:r>
    </w:p>
    <w:p>
      <w:pPr>
        <w:pStyle w:val="Compact"/>
        <w:numPr>
          <w:ilvl w:val="0"/>
          <w:numId w:val="1011"/>
        </w:numPr>
      </w:pPr>
      <w:r>
        <w:t xml:space="preserve">Conteúdo PUT (RESTful)</w:t>
      </w:r>
    </w:p>
    <w:p>
      <w:pPr>
        <w:pStyle w:val="Compact"/>
        <w:numPr>
          <w:ilvl w:val="0"/>
          <w:numId w:val="1011"/>
        </w:numPr>
      </w:pPr>
      <w:r>
        <w:t xml:space="preserve">UpdateRecord (Web Services)</w:t>
      </w:r>
    </w:p>
    <w:p>
      <w:pPr>
        <w:pStyle w:val="Compact"/>
        <w:numPr>
          <w:ilvl w:val="0"/>
          <w:numId w:val="1011"/>
        </w:numPr>
      </w:pPr>
      <w:r>
        <w:t xml:space="preserve">UpdateRecords (Web Services)</w:t>
      </w:r>
    </w:p>
    <w:bookmarkEnd w:id="35"/>
    <w:bookmarkStart w:id="39" w:name="Camposchave"/>
    <w:p>
      <w:pPr>
        <w:pStyle w:val="Heading2"/>
      </w:pPr>
      <w:r>
        <w:t xml:space="preserve">Campos-chave</w:t>
      </w:r>
    </w:p>
    <w:p>
      <w:pPr>
        <w:pStyle w:val="FirstParagraph"/>
      </w:pPr>
      <w:r>
        <w:t xml:space="preserve">Você pode usar campos-chave dos dados de origem para identificar registros correspondentes em um aplicativo ou questionário de destino. As chaves definidas no Data Feed Manager são diferentes das chaves definidas no Gerador de aplicativos.</w:t>
      </w:r>
    </w:p>
    <w:p>
      <w:pPr>
        <w:pStyle w:val="TableCaption"/>
      </w:pPr>
      <w:r>
        <w:t xml:space="preserve">A tabela a seguir lista os tipos de campo-chave válidos de um aplicativo ou questionário de destino.</w:t>
      </w:r>
    </w:p>
    <w:tbl>
      <w:tblPr>
        <w:tblStyle w:val="Table"/>
        <w:tblW w:type="auto" w:w="0"/>
        <w:tblLook w:firstRow="1" w:lastRow="0" w:firstColumn="0" w:lastColumn="0" w:noHBand="0" w:noVBand="0" w:val="0020"/>
        <w:tblCaption w:val="A tabela a seguir lista os tipos de campo-chave válidos de um aplicativo ou questionário de destino."/>
      </w:tblPr>
      <w:tblGrid>
        <w:gridCol w:w="3960"/>
        <w:gridCol w:w="3960"/>
      </w:tblGrid>
      <w:tr>
        <w:trPr>
          <w:tblHeader w:val="on"/>
        </w:trPr>
        <w:tc>
          <w:tcPr/>
          <w:p>
            <w:pPr>
              <w:pStyle w:val="BodyText"/>
            </w:pPr>
            <w:r>
              <w:t xml:space="preserve">Tipos de campo baseado em texto</w:t>
            </w:r>
          </w:p>
        </w:tc>
        <w:tc>
          <w:tcPr/>
          <w:p>
            <w:pPr>
              <w:pStyle w:val="BodyText"/>
            </w:pPr>
            <w:r>
              <w:t xml:space="preserve">Tipos de campo baseado em lista</w:t>
            </w:r>
          </w:p>
        </w:tc>
      </w:tr>
      <w:tr>
        <w:tc>
          <w:tcPr/>
          <w:p>
            <w:pPr>
              <w:pStyle w:val="BodyText"/>
            </w:pPr>
            <w:r>
              <w:t xml:space="preserve">Texto</w:t>
            </w:r>
          </w:p>
        </w:tc>
        <w:tc>
          <w:tcPr/>
          <w:p>
            <w:pPr>
              <w:pStyle w:val="BodyText"/>
            </w:pPr>
            <w:r>
              <w:t xml:space="preserve">Listas de valores</w:t>
            </w:r>
          </w:p>
        </w:tc>
      </w:tr>
      <w:tr>
        <w:tc>
          <w:tcPr/>
          <w:p>
            <w:pPr>
              <w:pStyle w:val="BodyText"/>
            </w:pPr>
            <w:r>
              <w:t xml:space="preserve">Numérico</w:t>
            </w:r>
          </w:p>
        </w:tc>
        <w:tc>
          <w:tcPr/>
          <w:p>
            <w:pPr>
              <w:pStyle w:val="BodyText"/>
            </w:pPr>
            <w:r>
              <w:t xml:space="preserve">Permissões de registro</w:t>
            </w:r>
          </w:p>
        </w:tc>
      </w:tr>
      <w:tr>
        <w:tc>
          <w:tcPr/>
          <w:p>
            <w:pPr>
              <w:pStyle w:val="BodyText"/>
            </w:pPr>
            <w:r>
              <w:t xml:space="preserve">Data</w:t>
            </w:r>
          </w:p>
        </w:tc>
        <w:tc>
          <w:tcPr/>
          <w:p>
            <w:pPr>
              <w:pStyle w:val="BodyText"/>
            </w:pPr>
            <w:r>
              <w:t xml:space="preserve">Grupos de usuários</w:t>
            </w:r>
          </w:p>
        </w:tc>
      </w:tr>
      <w:tr>
        <w:tc>
          <w:tcPr/>
          <w:p>
            <w:pPr>
              <w:pStyle w:val="BodyText"/>
            </w:pPr>
            <w:r>
              <w:t xml:space="preserve">Endereço IP</w:t>
            </w:r>
          </w:p>
        </w:tc>
        <w:tc>
          <w:tcPr/>
          <w:p>
            <w:pPr>
              <w:pStyle w:val="BodyText"/>
            </w:pPr>
            <w:r>
              <w:t xml:space="preserve">Campos de subformulário</w:t>
            </w:r>
          </w:p>
        </w:tc>
      </w:tr>
      <w:tr>
        <w:tc>
          <w:tcPr/>
          <w:p>
            <w:pPr>
              <w:pStyle w:val="BodyText"/>
            </w:pPr>
            <w:r>
              <w:t xml:space="preserve">ID de rastreamento ("ID do sistema" somente)</w:t>
            </w:r>
          </w:p>
        </w:tc>
        <w:tc>
          <w:tcPr/>
          <w:p>
            <w:pPr>
              <w:pStyle w:val="BodyText"/>
            </w:pPr>
            <w:r>
              <w:t xml:space="preserve"> </w:t>
            </w:r>
          </w:p>
        </w:tc>
      </w:tr>
    </w:tbl>
    <w:p>
      <w:pPr>
        <w:pStyle w:val="BodyText"/>
      </w:pPr>
      <w:r>
        <w:t xml:space="preserve">As seguintes restrições aplicam-se aos campos-chave:</w:t>
      </w:r>
    </w:p>
    <w:p>
      <w:pPr>
        <w:pStyle w:val="Compact"/>
        <w:numPr>
          <w:ilvl w:val="0"/>
          <w:numId w:val="1012"/>
        </w:numPr>
      </w:pPr>
      <w:r>
        <w:t xml:space="preserve">Só será possível usar o ID de rastreamento como um campo-chave se você configurar o campo como ID do sistema. Se você configurar o campo como ID do aplicativo, não poderá usar o ID de rastreamento como um campo-chave.</w:t>
      </w:r>
    </w:p>
    <w:p>
      <w:pPr>
        <w:pStyle w:val="Compact"/>
        <w:numPr>
          <w:ilvl w:val="0"/>
          <w:numId w:val="1012"/>
        </w:numPr>
      </w:pPr>
      <w:r>
        <w:t xml:space="preserve">se você mapear um campo de origem para um subformulário e o valor do campo de origem estiver em branco, o feed de dados não processará o registro do subformulário.</w:t>
      </w:r>
    </w:p>
    <w:bookmarkStart w:id="36" w:name="Chavessimplesechavesdecombinação"/>
    <w:p>
      <w:pPr>
        <w:pStyle w:val="Heading3"/>
      </w:pPr>
      <w:r>
        <w:t xml:space="preserve">Chaves simples e chaves de combinação</w:t>
      </w:r>
    </w:p>
    <w:p>
      <w:pPr>
        <w:pStyle w:val="FirstParagraph"/>
      </w:pPr>
      <w:r>
        <w:t xml:space="preserve">As chaves simples incluem apenas 1 campo. Cada chave tem um número de pedido diferente, e o feed de dados processa as chaves na ordem especificada. O feed de dados atualiza os registros existentes dos dados de origem no aplicativo ou questionário de destino usando uma chave simples.</w:t>
      </w:r>
    </w:p>
    <w:p>
      <w:pPr>
        <w:pStyle w:val="BodyText"/>
      </w:pPr>
      <w:r>
        <w:t xml:space="preserve">Por exemplo, cada pessoa tem um ITIN (Número de Identificação de Contribuinte Individual) ou número de CPF (Cadastro de Pessoa Física). Chaves simples que consistem nos campos ITIN ou CPF podem identificar registros com base apenas nesses campos.</w:t>
      </w:r>
    </w:p>
    <w:p>
      <w:pPr>
        <w:pStyle w:val="BodyText"/>
      </w:pPr>
      <w:r>
        <w:t xml:space="preserve">As chaves de combinação permitem que você selecione vários campos para criar uma única chave. Ao estabelecer uma chave de combinação, a ordem de cada campo na chave corresponde.</w:t>
      </w:r>
    </w:p>
    <w:p>
      <w:pPr>
        <w:pStyle w:val="BodyText"/>
      </w:pPr>
      <w:r>
        <w:t xml:space="preserve">Por exemplo, o nome e o sobrenome são 2 chaves simples. Ao combinar os campos de nome e sobrenome em uma chave de combinação, o feed de dados usa a chave de combinação como uma única chave para identificar os registros.</w:t>
      </w:r>
    </w:p>
    <w:bookmarkEnd w:id="36"/>
    <w:bookmarkStart w:id="37" w:name="Usodeváriaschaves"/>
    <w:p>
      <w:pPr>
        <w:pStyle w:val="Heading3"/>
      </w:pPr>
      <w:r>
        <w:t xml:space="preserve">Uso de várias chaves</w:t>
      </w:r>
    </w:p>
    <w:p>
      <w:pPr>
        <w:pStyle w:val="FirstParagraph"/>
      </w:pPr>
      <w:r>
        <w:t xml:space="preserve">O</w:t>
      </w:r>
      <w:r>
        <w:t xml:space="preserve"> </w:t>
      </w:r>
      <w:r>
        <w:t xml:space="preserve">Archer</w:t>
      </w:r>
      <w:r>
        <w:t xml:space="preserve"> </w:t>
      </w:r>
      <w:r>
        <w:t xml:space="preserve">permite que os usuários definam várias chaves e a ordem de processamento para identificar os registros correspondentes. Depois que você definir o número da ordem de cada chave, o feed de dados examinará os dados de origem para localizar correspondências com cada chave na ordem especificada. Se uma chave for uma chave de combinação, todos os campos da chave dos dados de origem devem corresponder aos campos correspondentes no registro de destino. O feed de dados continua o seguinte processo até encontrar uma correspondência ou até processar todas as chaves.</w:t>
      </w:r>
    </w:p>
    <w:p>
      <w:pPr>
        <w:pStyle w:val="Compact"/>
        <w:numPr>
          <w:ilvl w:val="0"/>
          <w:numId w:val="1013"/>
        </w:numPr>
      </w:pPr>
      <w:r>
        <w:t xml:space="preserve">Se a primeira chave dos dados de origem corresponder ao campo correspondente no registro de destino, os dados de origem atualizarão os dados do registro de destino.</w:t>
      </w:r>
    </w:p>
    <w:p>
      <w:pPr>
        <w:pStyle w:val="Compact"/>
        <w:numPr>
          <w:ilvl w:val="0"/>
          <w:numId w:val="1013"/>
        </w:numPr>
      </w:pPr>
      <w:r>
        <w:t xml:space="preserve">Se o feed de dados não encontrar uma correspondência para a primeira chave, ele tentará encontrar uma correspondência usando cada chave consecutiva.</w:t>
      </w:r>
    </w:p>
    <w:p>
      <w:pPr>
        <w:pStyle w:val="Compact"/>
        <w:numPr>
          <w:ilvl w:val="0"/>
          <w:numId w:val="1013"/>
        </w:numPr>
      </w:pPr>
      <w:r>
        <w:t xml:space="preserve">Se o feed de dados não encontrar uma correspondência ou nenhuma chave for deixada para análise, ele criará um novo aplicativo ou registro de questionário.</w:t>
      </w:r>
    </w:p>
    <w:p>
      <w:pPr>
        <w:pStyle w:val="FirstParagraph"/>
      </w:pPr>
      <w:r>
        <w:t xml:space="preserve">Por exemplo, você pode configurar as chaves na seguinte ordem: ITIN, nome e sobrenome.</w:t>
      </w:r>
    </w:p>
    <w:p>
      <w:pPr>
        <w:pStyle w:val="Compact"/>
        <w:numPr>
          <w:ilvl w:val="0"/>
          <w:numId w:val="1014"/>
        </w:numPr>
      </w:pPr>
      <w:r>
        <w:t xml:space="preserve">Se o feed de dados identifica um registro correspondente usando o ITIN, uma chave exclusiva para cada usuário, ele para de processar os registros.</w:t>
      </w:r>
    </w:p>
    <w:p>
      <w:pPr>
        <w:pStyle w:val="Compact"/>
        <w:numPr>
          <w:ilvl w:val="0"/>
          <w:numId w:val="1014"/>
        </w:numPr>
      </w:pPr>
      <w:r>
        <w:t xml:space="preserve">Se o feed de dados não puder encontrar registros correspondentes com base na primeira chave, ITIN, ele usará a segunda chave, nome, para encontrar uma correspondência.</w:t>
      </w:r>
    </w:p>
    <w:p>
      <w:pPr>
        <w:pStyle w:val="Compact"/>
        <w:numPr>
          <w:ilvl w:val="0"/>
          <w:numId w:val="1014"/>
        </w:numPr>
      </w:pPr>
      <w:r>
        <w:t xml:space="preserve">Se o feed de dados não puder encontrar registros correspondentes com base na segunda chave, nome, ele usará a terceira e última chave, sobrenome, para encontrar uma correspondência.</w:t>
      </w:r>
    </w:p>
    <w:p>
      <w:pPr>
        <w:pStyle w:val="Compact"/>
        <w:numPr>
          <w:ilvl w:val="0"/>
          <w:numId w:val="1014"/>
        </w:numPr>
      </w:pPr>
      <w:r>
        <w:t xml:space="preserve">Se ainda não houver registros correspondentes, o feed de dados criará um novo aplicativo ou registro de questionário usando os dados de origem.</w:t>
      </w:r>
    </w:p>
    <w:bookmarkEnd w:id="37"/>
    <w:bookmarkStart w:id="38" w:name="Xa6e2a6882df51aa76af45427a08fe33d32a4db2"/>
    <w:p>
      <w:pPr>
        <w:pStyle w:val="Heading3"/>
      </w:pPr>
      <w:r>
        <w:t xml:space="preserve">Critérios de correspondência para tipos de campo baseados em lista</w:t>
      </w:r>
    </w:p>
    <w:p>
      <w:pPr>
        <w:pStyle w:val="TableCaption"/>
      </w:pPr>
      <w:r>
        <w:t xml:space="preserve">A tabela a seguir descreve os critérios de correspondência para tipos de campo baseados em lista.</w:t>
      </w:r>
    </w:p>
    <w:tbl>
      <w:tblPr>
        <w:tblStyle w:val="Table"/>
        <w:tblW w:type="auto" w:w="0"/>
        <w:tblLook w:firstRow="1" w:lastRow="0" w:firstColumn="0" w:lastColumn="0" w:noHBand="0" w:noVBand="0" w:val="0020"/>
        <w:tblCaption w:val="A tabela a seguir descreve os critérios de correspondência para tipos de campo baseados em lista."/>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MatchExact</w:t>
            </w:r>
          </w:p>
        </w:tc>
        <w:tc>
          <w:tcPr/>
          <w:p>
            <w:pPr>
              <w:pStyle w:val="BodyText"/>
            </w:pPr>
            <w:r>
              <w:t xml:space="preserve">Especifica que os valores no campo de registro de destino e os valores no campo de dados de origem devem corresponder para atualizar o registro de destino. Se a correspondência não for exata, o feed de dados criará um novo registro.</w:t>
            </w:r>
          </w:p>
          <w:p>
            <w:pPr>
              <w:pStyle w:val="BodyText"/>
            </w:pPr>
            <w:r>
              <w:t xml:space="preserve">Por exemplo, um campo no registro do aplicativo de destino contém uma lista com os valores Vermelho, Azul e Verde, e o campo de dados de origem contém uma lista com os valores Azul, Verde e Vermelho. Como a lista no registro do aplicativo de destino corresponde dos valores exatos na lista de dados de origem, o feed de dados atualiza o registro de destino.</w:t>
            </w:r>
          </w:p>
        </w:tc>
      </w:tr>
      <w:tr>
        <w:tc>
          <w:tcPr/>
          <w:p>
            <w:pPr>
              <w:pStyle w:val="BodyText"/>
            </w:pPr>
            <w:r>
              <w:t xml:space="preserve">MatchAny</w:t>
            </w:r>
          </w:p>
        </w:tc>
        <w:tc>
          <w:tcPr/>
          <w:p>
            <w:pPr>
              <w:pStyle w:val="BodyText"/>
            </w:pPr>
            <w:r>
              <w:t xml:space="preserve">Especifica que pelo menos 1 valor no campo de dados de origem deve corresponder a pelo menos 1 valor no campo de registro de destino para que o feed de dados atualize o registro de destino. Se nenhum valor corresponder entre os dois campos, o feed de dados criará um novo registro.</w:t>
            </w:r>
          </w:p>
          <w:p>
            <w:pPr>
              <w:pStyle w:val="BodyText"/>
            </w:pPr>
            <w:r>
              <w:t xml:space="preserve">Por exemplo, se o registro do aplicativo de destino tem os valores Azul e Verde selecionados no campo-chave e o campo mapeado nos dados de origem inclui apenas o valor Azul, o feed de dados atualiza o registro porque pelo menos 1 dos valores corresponde à condição.</w:t>
            </w:r>
          </w:p>
        </w:tc>
      </w:tr>
      <w:tr>
        <w:tc>
          <w:tcPr/>
          <w:p>
            <w:pPr>
              <w:pStyle w:val="BodyText"/>
            </w:pPr>
            <w:r>
              <w:t xml:space="preserve">MatchAll</w:t>
            </w:r>
          </w:p>
        </w:tc>
        <w:tc>
          <w:tcPr/>
          <w:p>
            <w:pPr>
              <w:pStyle w:val="BodyText"/>
            </w:pPr>
            <w:r>
              <w:t xml:space="preserve">Especifica que todos os valores no campo de registro de destino devem conter todos os valores incluídos no campo de dados de origem para que o feed de dados atualize o registro de destino. Se o campo de registro de destino não incluir todos os valores de dados de origem, o feed de dados criará um novo registro.</w:t>
            </w:r>
          </w:p>
          <w:p>
            <w:pPr>
              <w:pStyle w:val="BodyText"/>
            </w:pPr>
            <w:r>
              <w:t xml:space="preserve">Por exemplo, se um registro do aplicativo de destino tem os valores Vermelho, Azul e Verde selecionados no campo-chave e o campo mapeado nos dados de origem inclui os valores Vermelho e Verde, o feed de dados atualiza o registro. No entanto, se os dados de origem do registro de destino tiverem os valores Vermelho, Azul e Amarelo, o feed de dados não atualiza o registro.</w:t>
            </w:r>
          </w:p>
        </w:tc>
      </w:tr>
    </w:tbl>
    <w:bookmarkEnd w:id="38"/>
    <w:bookmarkEnd w:id="39"/>
    <w:bookmarkStart w:id="41" w:name="Contadeserviçodofeeddedados"/>
    <w:p>
      <w:pPr>
        <w:pStyle w:val="Heading2"/>
      </w:pPr>
      <w:bookmarkStart w:id="40" w:name="Data_feed_service_user"/>
      <w:bookmarkEnd w:id="40"/>
      <w:r>
        <w:t xml:space="preserve"> </w:t>
      </w:r>
      <w:r>
        <w:t xml:space="preserve">Conta de serviço do feed de dados</w:t>
      </w:r>
    </w:p>
    <w:p>
      <w:pPr>
        <w:pStyle w:val="FirstParagraph"/>
      </w:pPr>
      <w:r>
        <w:t xml:space="preserve">Uma conta de serviço de feed de dados é uma conta que o sistema usa especificamente para executar um feed de dados. O usuário da conta de serviço também cria e atualiza conteúdo em um feed de dados. Ao configurar um feed de dados, os usuários podem escolher uma conta de serviço existente ou criar uma nova conta de serviço. Os usuários podem usar a mesma conta de serviço para executar cada feed de dados, mas para fins de solução de problemas, configure contas de serviço diferentes para cada feed de dados. Os usuários não podem entrar no</w:t>
      </w:r>
      <w:r>
        <w:t xml:space="preserve"> </w:t>
      </w:r>
      <w:r>
        <w:t xml:space="preserve">Archer</w:t>
      </w:r>
      <w:r>
        <w:t xml:space="preserve"> </w:t>
      </w:r>
      <w:r>
        <w:t xml:space="preserve">com uma conta de serviço de feed de dados. Os campos de registro de histórico exibem alterações de campo feitas por usuários do serviço de feed de dados. Associar uma conta de serviço de feed de dados exclusiva a cada feed esclarece qual feed de dados aplicou a atualização.</w:t>
      </w:r>
    </w:p>
    <w:bookmarkEnd w:id="41"/>
    <w:bookmarkStart w:id="42" w:name="Comunicaçãodofeeddedados"/>
    <w:p>
      <w:pPr>
        <w:pStyle w:val="Heading2"/>
      </w:pPr>
      <w:r>
        <w:t xml:space="preserve">Comunicação do feed de dados</w:t>
      </w:r>
    </w:p>
    <w:p>
      <w:pPr>
        <w:pStyle w:val="FirstParagraph"/>
      </w:pPr>
      <w:r>
        <w:t xml:space="preserve">A permite configurar o Gerenciador do feed de dados para recuperar ou receber dados de várias fontes de dados externas usando uma variedade de protocolos de transferência. Quando a opção é dada, é recomendável selecionar versões seguras em vez das versões não seguras.</w:t>
      </w:r>
    </w:p>
    <w:p>
      <w:pPr>
        <w:pStyle w:val="BodyText"/>
      </w:pPr>
      <w:r>
        <w:t xml:space="preserve">Para fortalecer ainda mais os feeds de dados, é recomendável que o Gerenciador do alimentador de dados exija que os caminhos do feed de dados sejam especificados como caminhos relativos.</w:t>
      </w:r>
    </w:p>
    <w:p>
      <w:pPr>
        <w:pStyle w:val="BodyText"/>
      </w:pPr>
      <w:r>
        <w:rPr>
          <w:b/>
          <w:bCs/>
        </w:rPr>
        <w:t xml:space="preserve">Observação:</w:t>
      </w:r>
      <w:r>
        <w:t xml:space="preserve"> </w:t>
      </w:r>
      <w:r>
        <w:t xml:space="preserve">A entrada do caminho relativo é configurada como o padrão.</w:t>
      </w:r>
    </w:p>
    <w:bookmarkEnd w:id="42"/>
    <w:bookmarkStart w:id="43" w:name="TokendofeeddedadosBatchContentSave"/>
    <w:p>
      <w:pPr>
        <w:pStyle w:val="Heading2"/>
      </w:pPr>
      <w:r>
        <w:t xml:space="preserve">Token do feed de dados BatchContentSave</w:t>
      </w:r>
    </w:p>
    <w:p>
      <w:pPr>
        <w:pStyle w:val="FirstParagraph"/>
      </w:pPr>
      <w:r>
        <w:t xml:space="preserve">O feed de dados que utiliza o token BatchContentSave deve ser usado com cuidado. É recomendável o uso desse token para a inclusão de um grande volume de conteúdo de aprimoramento. Ele não é recomendável para a progressão de conteúdo por meio de workflows. As alterações de conteúdo feitas por um feed habilitado para BatchContentSave não serão rastreadas nos campos Registro do histórico do sistema (embora as informações de auditoria do campo sejam mantidas).</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int_dfm_archer_to_archer.htm" TargetMode="External" /><Relationship Type="http://schemas.openxmlformats.org/officeDocument/2006/relationships/hyperlink" Id="rId23" Target="int_dfm_db_query.htm" TargetMode="External" /><Relationship Type="http://schemas.openxmlformats.org/officeDocument/2006/relationships/hyperlink" Id="rId24" Target="int_dfm_file.htm" TargetMode="External" /><Relationship Type="http://schemas.openxmlformats.org/officeDocument/2006/relationships/hyperlink" Id="rId25" Target="int_dfm_ftp.htm" TargetMode="External" /><Relationship Type="http://schemas.openxmlformats.org/officeDocument/2006/relationships/hyperlink" Id="rId26" Target="int_dfm_http.htm" TargetMode="External" /><Relationship Type="http://schemas.openxmlformats.org/officeDocument/2006/relationships/hyperlink" Id="rId27" Target="int_dfm_js.htm" TargetMode="External" /><Relationship Type="http://schemas.openxmlformats.org/officeDocument/2006/relationships/hyperlink" Id="rId28" Target="int_dfm_mail_monitor.htm" TargetMode="External" /><Relationship Type="http://schemas.openxmlformats.org/officeDocument/2006/relationships/hyperlink" Id="rId29" Target="int_dfm_rss.htm" TargetMode="External" /></Relationships>
</file>

<file path=word/_rels/footnotes.xml.rels><?xml version="1.0" encoding="UTF-8"?><Relationships xmlns="http://schemas.openxmlformats.org/package/2006/relationships"><Relationship Type="http://schemas.openxmlformats.org/officeDocument/2006/relationships/hyperlink" Id="rId22" Target="int_dfm_archer_to_archer.htm" TargetMode="External" /><Relationship Type="http://schemas.openxmlformats.org/officeDocument/2006/relationships/hyperlink" Id="rId23" Target="int_dfm_db_query.htm" TargetMode="External" /><Relationship Type="http://schemas.openxmlformats.org/officeDocument/2006/relationships/hyperlink" Id="rId24" Target="int_dfm_file.htm" TargetMode="External" /><Relationship Type="http://schemas.openxmlformats.org/officeDocument/2006/relationships/hyperlink" Id="rId25" Target="int_dfm_ftp.htm" TargetMode="External" /><Relationship Type="http://schemas.openxmlformats.org/officeDocument/2006/relationships/hyperlink" Id="rId26" Target="int_dfm_http.htm" TargetMode="External" /><Relationship Type="http://schemas.openxmlformats.org/officeDocument/2006/relationships/hyperlink" Id="rId27" Target="int_dfm_js.htm" TargetMode="External" /><Relationship Type="http://schemas.openxmlformats.org/officeDocument/2006/relationships/hyperlink" Id="rId28" Target="int_dfm_mail_monitor.htm" TargetMode="External" /><Relationship Type="http://schemas.openxmlformats.org/officeDocument/2006/relationships/hyperlink" Id="rId29" Target="int_dfm_rs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2025-02-19T20:13:54Z</dcterms:created>
  <dcterms:modified xsi:type="dcterms:W3CDTF">2025-02-19T20:13:54Z</dcterms:modified>
</cp:coreProperties>
</file>

<file path=docProps/custom.xml><?xml version="1.0" encoding="utf-8"?>
<Properties xmlns="http://schemas.openxmlformats.org/officeDocument/2006/custom-properties" xmlns:vt="http://schemas.openxmlformats.org/officeDocument/2006/docPropsVTypes"/>
</file>