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f334f99581dbaf25b83095ac345c49eb0aa6218"/>
    <w:p>
      <w:pPr>
        <w:pStyle w:val="Heading1"/>
      </w:pPr>
      <w:r>
        <w:t xml:space="preserve">Manipulando Dados no Arquivo de Origem dos Feeds de Dados Padrão</w:t>
      </w:r>
    </w:p>
    <w:p>
      <w:pPr>
        <w:pStyle w:val="FirstParagraph"/>
      </w:pPr>
      <w:r>
        <w:t xml:space="preserve">Você pode manipular os valores de campo dos dados de origem para que eles sejam atualizados quando forem importados para o destino. Por exemplo, você pode usar um campo calculado para manipular o valor de campo original, para que a string de saída seja diferente.</w:t>
      </w:r>
    </w:p>
    <w:p>
      <w:pPr>
        <w:pStyle w:val="BodyText"/>
      </w:pPr>
      <w:r>
        <w:t xml:space="preserve">Nesta página</w:t>
      </w:r>
    </w:p>
    <w:p>
      <w:pPr>
        <w:pStyle w:val="Compact"/>
        <w:numPr>
          <w:ilvl w:val="0"/>
          <w:numId w:val="1001"/>
        </w:numPr>
      </w:pPr>
      <w:hyperlink w:anchor="Adicionarcamposdeorigemfilho">
        <w:r>
          <w:rPr>
            <w:rStyle w:val="Hyperlink"/>
          </w:rPr>
          <w:t xml:space="preserve">Adicionar campos de origem filho</w:t>
        </w:r>
      </w:hyperlink>
    </w:p>
    <w:p>
      <w:pPr>
        <w:pStyle w:val="Compact"/>
        <w:numPr>
          <w:ilvl w:val="0"/>
          <w:numId w:val="1001"/>
        </w:numPr>
      </w:pPr>
      <w:hyperlink w:anchor="Xdf2717590a6af6c4eaa4d849e335cbb2d366f92">
        <w:r>
          <w:rPr>
            <w:rStyle w:val="Hyperlink"/>
          </w:rPr>
          <w:t xml:space="preserve">Modificar os valores de campo no arquivo de origem</w:t>
        </w:r>
      </w:hyperlink>
    </w:p>
    <w:p>
      <w:pPr>
        <w:pStyle w:val="Compact"/>
        <w:numPr>
          <w:ilvl w:val="1"/>
          <w:numId w:val="1002"/>
        </w:numPr>
      </w:pPr>
      <w:hyperlink w:anchor="Xd03865258515d5bc288896b79ff0beddcaa8dd3">
        <w:r>
          <w:rPr>
            <w:rStyle w:val="Hyperlink"/>
          </w:rPr>
          <w:t xml:space="preserve">Exemplo: Associando valores externos a valores internos</w:t>
        </w:r>
      </w:hyperlink>
    </w:p>
    <w:p>
      <w:pPr>
        <w:pStyle w:val="Compact"/>
        <w:numPr>
          <w:ilvl w:val="1"/>
          <w:numId w:val="1002"/>
        </w:numPr>
      </w:pPr>
      <w:hyperlink w:anchor="Xa7de6e08d77fd1f8b1fa4d91d187b96bbad5a8c">
        <w:r>
          <w:rPr>
            <w:rStyle w:val="Hyperlink"/>
          </w:rPr>
          <w:t xml:space="preserve">Exceção do editor de tradução</w:t>
        </w:r>
      </w:hyperlink>
    </w:p>
    <w:p>
      <w:pPr>
        <w:pStyle w:val="Compact"/>
        <w:numPr>
          <w:ilvl w:val="0"/>
          <w:numId w:val="1001"/>
        </w:numPr>
      </w:pPr>
      <w:hyperlink w:anchor="Xb89957ed985e0a4302ff3ac630dbd033862cde7">
        <w:r>
          <w:rPr>
            <w:rStyle w:val="Hyperlink"/>
          </w:rPr>
          <w:t xml:space="preserve">Adicionar um campo calculado aos dados de origem</w:t>
        </w:r>
      </w:hyperlink>
    </w:p>
    <w:p>
      <w:pPr>
        <w:pStyle w:val="Compact"/>
        <w:numPr>
          <w:ilvl w:val="1"/>
          <w:numId w:val="1003"/>
        </w:numPr>
      </w:pPr>
      <w:hyperlink w:anchor="Exemploc%C3%A1lculoscomuns">
        <w:r>
          <w:rPr>
            <w:rStyle w:val="Hyperlink"/>
          </w:rPr>
          <w:t xml:space="preserve">Exemplo: cálculos comuns</w:t>
        </w:r>
      </w:hyperlink>
    </w:p>
    <w:p>
      <w:pPr>
        <w:pStyle w:val="Compact"/>
        <w:numPr>
          <w:ilvl w:val="0"/>
          <w:numId w:val="1001"/>
        </w:numPr>
      </w:pPr>
      <w:hyperlink w:anchor="X2ec7638f6c0e3219e1c67a04b75d8a55da7f64b">
        <w:r>
          <w:rPr>
            <w:rStyle w:val="Hyperlink"/>
          </w:rPr>
          <w:t xml:space="preserve">Inserir um texto estático como valor de campo nos dados de origem</w:t>
        </w:r>
      </w:hyperlink>
    </w:p>
    <w:bookmarkStart w:id="21" w:name="Adicionarcamposdeorigemfilho"/>
    <w:p>
      <w:pPr>
        <w:pStyle w:val="Heading2"/>
      </w:pPr>
      <w:r>
        <w:t xml:space="preserve">Adicionar campos de origem filho</w:t>
      </w:r>
    </w:p>
    <w:p>
      <w:pPr>
        <w:pStyle w:val="FirstParagraph"/>
      </w:pPr>
      <w:r>
        <w:t xml:space="preserve">Você pode adicionar um campo de origem filho para definir a estrutura para qualquer um de seus campos de origem do feed de dados.</w:t>
      </w:r>
    </w:p>
    <w:p>
      <w:pPr>
        <w:pStyle w:val="BodyText"/>
      </w:pPr>
      <w:r>
        <w:rPr>
          <w:b/>
          <w:bCs/>
        </w:rPr>
        <w:t xml:space="preserve">Observação:</w:t>
      </w:r>
      <w:r>
        <w:t xml:space="preserve"> </w:t>
      </w:r>
      <w:r>
        <w:t xml:space="preserve">esta opção está disponível para todos os feeds de dados padrão de Archer para Archer e para outros métodos de transporte de feed de dados padrão em que você especificou o XML File Iterator como o método de navegação.</w:t>
      </w:r>
    </w:p>
    <w:p>
      <w:pPr>
        <w:numPr>
          <w:ilvl w:val="0"/>
          <w:numId w:val="1004"/>
        </w:numPr>
      </w:pPr>
      <w:r>
        <w:t xml:space="preserve">Vá para a guia Definição de origem &gt; guia Dados de origem</w:t>
      </w:r>
    </w:p>
    <w:p>
      <w:pPr>
        <w:pStyle w:val="Compact"/>
        <w:numPr>
          <w:ilvl w:val="0"/>
          <w:numId w:val="1004"/>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4"/>
        </w:numPr>
      </w:pPr>
      <w:r>
        <w:t xml:space="preserve">Digite um nome de campo de origem.</w:t>
      </w:r>
    </w:p>
    <w:p>
      <w:pPr>
        <w:pStyle w:val="Compact"/>
        <w:numPr>
          <w:ilvl w:val="0"/>
          <w:numId w:val="1004"/>
        </w:numPr>
      </w:pPr>
      <w:r>
        <w:t xml:space="preserve">Na lista, selecione um Tipo de campo.</w:t>
      </w:r>
    </w:p>
    <w:p>
      <w:pPr>
        <w:numPr>
          <w:ilvl w:val="0"/>
          <w:numId w:val="1004"/>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4"/>
        </w:numPr>
      </w:pPr>
      <w:r>
        <w:t xml:space="preserve">Clique em Adicionar novo.</w:t>
      </w:r>
    </w:p>
    <w:bookmarkEnd w:id="21"/>
    <w:bookmarkStart w:id="24" w:name="Xdf2717590a6af6c4eaa4d849e335cbb2d366f92"/>
    <w:p>
      <w:pPr>
        <w:pStyle w:val="Heading2"/>
      </w:pPr>
      <w:r>
        <w:t xml:space="preserve">Modificar os valores de campo no arquivo de origem</w:t>
      </w:r>
    </w:p>
    <w:p>
      <w:pPr>
        <w:numPr>
          <w:ilvl w:val="0"/>
          <w:numId w:val="1005"/>
        </w:numPr>
      </w:pPr>
      <w:r>
        <w:t xml:space="preserve">Vá para a guia Definição de origem &gt; guia Dados de origem</w:t>
      </w:r>
    </w:p>
    <w:p>
      <w:pPr>
        <w:pStyle w:val="Compact"/>
        <w:numPr>
          <w:ilvl w:val="0"/>
          <w:numId w:val="1005"/>
        </w:numPr>
      </w:pPr>
      <w:r>
        <w:t xml:space="preserve">Para modificar um campo de origem, na coluna Ações, clique em</w:t>
      </w:r>
      <w:r>
        <w:t xml:space="preserve"> </w:t>
      </w:r>
      <w:r>
        <w:t xml:space="preserve">Reticências</w:t>
      </w:r>
      <w:r>
        <w:t xml:space="preserve"> </w:t>
      </w:r>
      <w:r>
        <w:t xml:space="preserve">e selecione Adicionar Editar.</w:t>
      </w:r>
    </w:p>
    <w:p>
      <w:pPr>
        <w:pStyle w:val="Compact"/>
        <w:numPr>
          <w:ilvl w:val="0"/>
          <w:numId w:val="1005"/>
        </w:numPr>
      </w:pPr>
      <w:r>
        <w:t xml:space="preserve">Digite um nome de campo de origem.</w:t>
      </w:r>
    </w:p>
    <w:p>
      <w:pPr>
        <w:numPr>
          <w:ilvl w:val="0"/>
          <w:numId w:val="1005"/>
        </w:numPr>
      </w:pPr>
      <w:r>
        <w:t xml:space="preserve">Na lista, selecione Tradução de pesquisa.</w:t>
      </w:r>
    </w:p>
    <w:p>
      <w:pPr>
        <w:numPr>
          <w:ilvl w:val="0"/>
          <w:numId w:val="1000"/>
        </w:numPr>
      </w:pPr>
      <w:r>
        <w:t xml:space="preserve">A conversão reconcilia os valores dos dados de origem para valores que são aceitos em aplicativos ou questionários de destino da</w:t>
      </w:r>
      <w:r>
        <w:t xml:space="preserve"> </w:t>
      </w:r>
      <w:r>
        <w:t xml:space="preserve">Archer</w:t>
      </w:r>
      <w:r>
        <w:t xml:space="preserve">. O uso de um aplicativo como intermediário garante que o feed de dados converta todos os dados externos no formato adequado antes de importá-los para o aplicativo de destino.</w:t>
      </w:r>
    </w:p>
    <w:p>
      <w:pPr>
        <w:numPr>
          <w:ilvl w:val="0"/>
          <w:numId w:val="1000"/>
        </w:numPr>
      </w:pPr>
      <w:r>
        <w:t xml:space="preserve">Você pode usar a Pesquisa de conversão para converter um valor do arquivo de origem para outro valor. Para isso, mapeie uma coluna no arquivo de origem para um campo em um aplicativo (Valor original) e mapeie um campo no aplicativo de destino (Valor da tradução) para outro campo no mesmo aplicativo. O valor original e o valor da tradução devem estar no mesmo aplicativo. A Pesquisa de conversão pesquisa o valor do arquivo de origem no aplicativo e, quando o encontra, armazena o valor (do mesmo registro) que é mapeado para o aplicativo de destino.</w:t>
      </w:r>
    </w:p>
    <w:p>
      <w:pPr>
        <w:pStyle w:val="Heading3"/>
        <w:numPr>
          <w:ilvl w:val="0"/>
          <w:numId w:val="1000"/>
        </w:numPr>
      </w:pPr>
      <w:bookmarkStart w:id="22" w:name="Xd03865258515d5bc288896b79ff0beddcaa8dd3"/>
      <w:r>
        <w:t xml:space="preserve">Exemplo: Associando valores externos a valores internos</w:t>
      </w:r>
      <w:bookmarkEnd w:id="22"/>
    </w:p>
    <w:p>
      <w:pPr>
        <w:pStyle w:val="Compact"/>
      </w:pPr>
      <w:r>
        <w:t xml:space="preserve">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w:t>
      </w:r>
    </w:p>
    <w:tbl>
      <w:tblPr>
        <w:tblStyle w:val="Table"/>
        <w:tblW w:type="auto" w:w="0"/>
        <w:jc w:val="left"/>
        <w:tblInd w:w="720" w:type="dxa"/>
        <w:tblLook w:firstRow="1" w:lastRow="0" w:firstColumn="0" w:lastColumn="0" w:noHBand="0" w:noVBand="0" w:val="0020"/>
        <w:tblCaption w:val="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
      </w:tblPr>
      <w:tblGrid>
        <w:gridCol w:w="1980"/>
        <w:gridCol w:w="1980"/>
        <w:gridCol w:w="1980"/>
        <w:gridCol w:w="1980"/>
      </w:tblGrid>
      <w:tr>
        <w:trPr>
          <w:tblHeader w:val="on"/>
        </w:trPr>
        <w:tc>
          <w:tcPr/>
          <w:p>
            <w:pPr>
              <w:pStyle w:val="BodyText"/>
            </w:pPr>
            <w:r>
              <w:t xml:space="preserve">Dados de origem</w:t>
            </w:r>
          </w:p>
        </w:tc>
        <w:tc>
          <w:tcPr/>
          <w:p>
            <w:pPr>
              <w:pStyle w:val="BodyText"/>
            </w:pPr>
            <w:r>
              <w:t xml:space="preserve">Valor original</w:t>
            </w:r>
          </w:p>
        </w:tc>
        <w:tc>
          <w:tcPr/>
          <w:p>
            <w:pPr>
              <w:pStyle w:val="BodyText"/>
            </w:pPr>
            <w:r>
              <w:t xml:space="preserve">Traduzir valor</w:t>
            </w:r>
          </w:p>
        </w:tc>
        <w:tc>
          <w:tcPr/>
          <w:p>
            <w:pPr>
              <w:pStyle w:val="BodyText"/>
            </w:pPr>
            <w:r>
              <w:t xml:space="preserve">Aplicativo de destino</w:t>
            </w:r>
          </w:p>
        </w:tc>
      </w:tr>
      <w:tr>
        <w:tc>
          <w:tcPr/>
          <w:p>
            <w:pPr>
              <w:pStyle w:val="BodyText"/>
            </w:pPr>
            <w:r>
              <w:rPr>
                <w:b/>
                <w:bCs/>
              </w:rPr>
              <w:t xml:space="preserve">Nome do campo: Estado</w:t>
            </w:r>
          </w:p>
        </w:tc>
        <w:tc>
          <w:tcPr/>
          <w:p>
            <w:pPr>
              <w:pStyle w:val="BodyText"/>
            </w:pPr>
            <w:r>
              <w:rPr>
                <w:b/>
                <w:bCs/>
              </w:rPr>
              <w:t xml:space="preserve">Nome do campo: Estado ID1</w:t>
            </w:r>
          </w:p>
        </w:tc>
        <w:tc>
          <w:tcPr/>
          <w:p>
            <w:pPr>
              <w:pStyle w:val="BodyText"/>
            </w:pPr>
            <w:r>
              <w:rPr>
                <w:b/>
                <w:bCs/>
              </w:rPr>
              <w:t xml:space="preserve">Nome do campo: Estado ID2</w:t>
            </w:r>
          </w:p>
        </w:tc>
        <w:tc>
          <w:tcPr/>
          <w:p>
            <w:pPr>
              <w:pStyle w:val="BodyText"/>
            </w:pPr>
            <w:r>
              <w:rPr>
                <w:b/>
                <w:bCs/>
              </w:rPr>
              <w:t xml:space="preserve">Nome do campo: Estado</w:t>
            </w:r>
          </w:p>
        </w:tc>
      </w:tr>
      <w:tr>
        <w:tc>
          <w:tcPr/>
          <w:p>
            <w:pPr>
              <w:pStyle w:val="BodyText"/>
            </w:pPr>
            <w:r>
              <w:t xml:space="preserve">Califórnia</w:t>
            </w:r>
          </w:p>
        </w:tc>
        <w:tc>
          <w:tcPr/>
          <w:p>
            <w:pPr>
              <w:pStyle w:val="BodyText"/>
            </w:pPr>
            <w:r>
              <w:t xml:space="preserve">Califórnia</w:t>
            </w:r>
          </w:p>
        </w:tc>
        <w:tc>
          <w:tcPr/>
          <w:p>
            <w:pPr>
              <w:pStyle w:val="BodyText"/>
            </w:pPr>
            <w:r>
              <w:t xml:space="preserve">CA</w:t>
            </w:r>
          </w:p>
        </w:tc>
        <w:tc>
          <w:tcPr/>
          <w:p>
            <w:pPr>
              <w:pStyle w:val="BodyText"/>
            </w:pPr>
            <w:r>
              <w:t xml:space="preserve">CA</w:t>
            </w:r>
          </w:p>
        </w:tc>
      </w:tr>
      <w:tr>
        <w:tc>
          <w:tcPr/>
          <w:p>
            <w:pPr>
              <w:pStyle w:val="BodyText"/>
            </w:pPr>
            <w:r>
              <w:t xml:space="preserve">Texas</w:t>
            </w:r>
          </w:p>
        </w:tc>
        <w:tc>
          <w:tcPr/>
          <w:p>
            <w:pPr>
              <w:pStyle w:val="BodyText"/>
            </w:pPr>
            <w:r>
              <w:t xml:space="preserve">Texas</w:t>
            </w:r>
          </w:p>
        </w:tc>
        <w:tc>
          <w:tcPr/>
          <w:p>
            <w:pPr>
              <w:pStyle w:val="BodyText"/>
            </w:pPr>
            <w:r>
              <w:t xml:space="preserve">TX</w:t>
            </w:r>
          </w:p>
        </w:tc>
        <w:tc>
          <w:tcPr/>
          <w:p>
            <w:pPr>
              <w:pStyle w:val="BodyText"/>
            </w:pPr>
            <w:r>
              <w:t xml:space="preserve">TX</w:t>
            </w:r>
          </w:p>
        </w:tc>
      </w:tr>
      <w:tr>
        <w:tc>
          <w:tcPr/>
          <w:p>
            <w:pPr>
              <w:pStyle w:val="BodyText"/>
            </w:pPr>
            <w:r>
              <w:t xml:space="preserve">New York</w:t>
            </w:r>
          </w:p>
        </w:tc>
        <w:tc>
          <w:tcPr/>
          <w:p>
            <w:pPr>
              <w:pStyle w:val="BodyText"/>
            </w:pPr>
            <w:r>
              <w:t xml:space="preserve">New York</w:t>
            </w:r>
          </w:p>
        </w:tc>
        <w:tc>
          <w:tcPr/>
          <w:p>
            <w:pPr>
              <w:pStyle w:val="BodyText"/>
            </w:pPr>
            <w:r>
              <w:t xml:space="preserve">NY</w:t>
            </w:r>
          </w:p>
        </w:tc>
        <w:tc>
          <w:tcPr/>
          <w:p>
            <w:pPr>
              <w:pStyle w:val="BodyText"/>
            </w:pPr>
            <w:r>
              <w:t xml:space="preserve">NY</w:t>
            </w:r>
          </w:p>
        </w:tc>
      </w:tr>
      <w:tr>
        <w:tc>
          <w:tcPr/>
          <w:p>
            <w:pPr>
              <w:pStyle w:val="BodyText"/>
            </w:pPr>
            <w:r>
              <w:t xml:space="preserve">Flórida</w:t>
            </w:r>
          </w:p>
        </w:tc>
        <w:tc>
          <w:tcPr/>
          <w:p>
            <w:pPr>
              <w:pStyle w:val="BodyText"/>
            </w:pPr>
            <w:r>
              <w:t xml:space="preserve">Flórida</w:t>
            </w:r>
          </w:p>
        </w:tc>
        <w:tc>
          <w:tcPr/>
          <w:p>
            <w:pPr>
              <w:pStyle w:val="BodyText"/>
            </w:pPr>
            <w:r>
              <w:t xml:space="preserve">FL</w:t>
            </w:r>
          </w:p>
        </w:tc>
        <w:tc>
          <w:tcPr/>
          <w:p>
            <w:pPr>
              <w:pStyle w:val="BodyText"/>
            </w:pPr>
            <w:r>
              <w:t xml:space="preserve">FL</w:t>
            </w:r>
          </w:p>
        </w:tc>
      </w:tr>
    </w:tbl>
    <w:p>
      <w:pPr>
        <w:numPr>
          <w:ilvl w:val="0"/>
          <w:numId w:val="1005"/>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5"/>
        </w:numPr>
      </w:pPr>
      <w:r>
        <w:t xml:space="preserve">No campo Origem para Tradução, selecione o campo de origem.</w:t>
      </w:r>
    </w:p>
    <w:p>
      <w:pPr>
        <w:pStyle w:val="Compact"/>
        <w:numPr>
          <w:ilvl w:val="0"/>
          <w:numId w:val="1005"/>
        </w:numPr>
      </w:pPr>
      <w:r>
        <w:t xml:space="preserve">Na lista Aplicativo da tradução, selecione o aplicativo que traduz os valores.</w:t>
      </w:r>
    </w:p>
    <w:p>
      <w:pPr>
        <w:numPr>
          <w:ilvl w:val="0"/>
          <w:numId w:val="1005"/>
        </w:numPr>
      </w:pPr>
      <w:r>
        <w:t xml:space="preserve">Na lista Exceções, selecione a função que o Gerenciador do alimentador de dados deve executar quando um valor gerar uma exceção.</w:t>
      </w:r>
    </w:p>
    <w:p>
      <w:pPr>
        <w:pStyle w:val="Heading3"/>
        <w:numPr>
          <w:ilvl w:val="0"/>
          <w:numId w:val="1000"/>
        </w:numPr>
      </w:pPr>
      <w:bookmarkStart w:id="23" w:name="Exceçãodoeditordetradução"/>
      <w:r>
        <w:t xml:space="preserve">Exceção do editor de tradução</w:t>
      </w:r>
      <w:bookmarkEnd w:id="23"/>
    </w:p>
    <w:p>
      <w:pPr>
        <w:numPr>
          <w:ilvl w:val="0"/>
          <w:numId w:val="1000"/>
        </w:numPr>
      </w:pPr>
      <w:r>
        <w:t xml:space="preserve">As seleções nas listas Valor original e Traduzir valor devem ser diferentes. Caso contrário, será exibida uma mensagem de advertência.</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Advertência de registro</w:t>
            </w:r>
          </w:p>
        </w:tc>
        <w:tc>
          <w:tcPr/>
          <w:p>
            <w:pPr>
              <w:pStyle w:val="BodyText"/>
            </w:pPr>
            <w:r>
              <w:t xml:space="preserve">Anota um erro no arquivo de registros, e o feed de dados não importa o valor. O feed de dados não atualiza o aplicativo de tradução.</w:t>
            </w:r>
          </w:p>
        </w:tc>
      </w:tr>
      <w:tr>
        <w:tc>
          <w:tcPr/>
          <w:p>
            <w:pPr>
              <w:pStyle w:val="BodyText"/>
            </w:pPr>
            <w:r>
              <w:t xml:space="preserve">Inserir dados brutos</w:t>
            </w:r>
          </w:p>
        </w:tc>
        <w:tc>
          <w:tcPr/>
          <w:p>
            <w:pPr>
              <w:pStyle w:val="BodyText"/>
            </w:pPr>
            <w:r>
              <w:t xml:space="preserve">Insere o valor bruto do arquivo de origem no aplicativo de destino se o feed de dados não encontrar uma correspondência.</w:t>
            </w:r>
          </w:p>
        </w:tc>
      </w:tr>
      <w:tr>
        <w:tc>
          <w:tcPr/>
          <w:p>
            <w:pPr>
              <w:pStyle w:val="BodyText"/>
            </w:pPr>
            <w:r>
              <w:t xml:space="preserve">Valor original</w:t>
            </w:r>
          </w:p>
        </w:tc>
        <w:tc>
          <w:tcPr/>
          <w:p>
            <w:pPr>
              <w:pStyle w:val="BodyText"/>
            </w:pPr>
            <w:r>
              <w:t xml:space="preserve">Identifica o campo no aplicativo da tradução que está associado ao valor de seu arquivo externo de dados.</w:t>
            </w:r>
          </w:p>
        </w:tc>
      </w:tr>
      <w:tr>
        <w:tc>
          <w:tcPr/>
          <w:p>
            <w:pPr>
              <w:pStyle w:val="BodyText"/>
            </w:pPr>
            <w:r>
              <w:t xml:space="preserve">Valor da tradução</w:t>
            </w:r>
          </w:p>
        </w:tc>
        <w:tc>
          <w:tcPr/>
          <w:p>
            <w:pPr>
              <w:pStyle w:val="BodyText"/>
            </w:pPr>
            <w:r>
              <w:t xml:space="preserve">Identifica o campo no aplicativo da tradução que está associado ao valor adequado no aplicativo ou questionário de destino.</w:t>
            </w:r>
          </w:p>
        </w:tc>
      </w:tr>
    </w:tbl>
    <w:p>
      <w:pPr>
        <w:pStyle w:val="Compact"/>
        <w:numPr>
          <w:ilvl w:val="0"/>
          <w:numId w:val="1005"/>
        </w:numPr>
      </w:pPr>
      <w:r>
        <w:t xml:space="preserve">Clique em Atualizar.</w:t>
      </w:r>
    </w:p>
    <w:bookmarkEnd w:id="24"/>
    <w:bookmarkStart w:id="26" w:name="Xb89957ed985e0a4302ff3ac630dbd033862cde7"/>
    <w:p>
      <w:pPr>
        <w:pStyle w:val="Heading2"/>
      </w:pPr>
      <w:r>
        <w:t xml:space="preserve">Adicionar um campo calculado aos dados de origem</w:t>
      </w:r>
    </w:p>
    <w:p>
      <w:pPr>
        <w:pStyle w:val="FirstParagraph"/>
      </w:pPr>
      <w:r>
        <w:t xml:space="preserve">Os cálculos do Data Feed Manager usam o mesmo mecanismo de cálculo e a sintaxe do Application Builder. Aplique cálculos aos campos de origem para gerar dinamicamente novos valores que poderão ser preenchidos em um aplicativo ou questionário.</w:t>
      </w:r>
    </w:p>
    <w:p>
      <w:pPr>
        <w:pStyle w:val="BodyText"/>
      </w:pPr>
      <w:r>
        <w:rPr>
          <w:b/>
          <w:bCs/>
        </w:rPr>
        <w:t xml:space="preserve">Observação:</w:t>
      </w:r>
      <w:r>
        <w:t xml:space="preserve"> </w:t>
      </w:r>
      <w:r>
        <w:t xml:space="preserve">Não é possível referenciar campos em um cálculo armazenado nos campos de pais diferentes.</w:t>
      </w:r>
    </w:p>
    <w:p>
      <w:pPr>
        <w:numPr>
          <w:ilvl w:val="0"/>
          <w:numId w:val="1006"/>
        </w:numPr>
      </w:pPr>
      <w:r>
        <w:t xml:space="preserve">Vá para a guia Definição de origem &gt; guia Dados de origem</w:t>
      </w:r>
    </w:p>
    <w:p>
      <w:pPr>
        <w:pStyle w:val="Compact"/>
        <w:numPr>
          <w:ilvl w:val="0"/>
          <w:numId w:val="1006"/>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6"/>
        </w:numPr>
      </w:pPr>
      <w:r>
        <w:t xml:space="preserve">Digite um nome de campo de origem.</w:t>
      </w:r>
    </w:p>
    <w:p>
      <w:pPr>
        <w:pStyle w:val="Compact"/>
        <w:numPr>
          <w:ilvl w:val="0"/>
          <w:numId w:val="1006"/>
        </w:numPr>
      </w:pPr>
      <w:r>
        <w:t xml:space="preserve">Na lista, selecione um campo calculado.</w:t>
      </w:r>
    </w:p>
    <w:p>
      <w:pPr>
        <w:numPr>
          <w:ilvl w:val="0"/>
          <w:numId w:val="1006"/>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numPr>
          <w:ilvl w:val="0"/>
          <w:numId w:val="1006"/>
        </w:numPr>
      </w:pPr>
      <w:r>
        <w:t xml:space="preserve">No campo Editor de cálculo, digite sua fórmula calculada e clique em Validar sintaxe. Se necessário, corrija a fórmula antes de continuar.</w:t>
      </w:r>
    </w:p>
    <w:p>
      <w:pPr>
        <w:numPr>
          <w:ilvl w:val="0"/>
          <w:numId w:val="1000"/>
        </w:numPr>
      </w:pPr>
      <w:r>
        <w:rPr>
          <w:b/>
          <w:bCs/>
        </w:rPr>
        <w:t xml:space="preserve">Importante:</w:t>
      </w:r>
      <w:r>
        <w:t xml:space="preserve"> </w:t>
      </w:r>
      <w:r>
        <w:t xml:space="preserve">Quando o campo de origem na fórmula calculada inclui tags HTML e aspas (" "), o</w:t>
      </w:r>
      <w:r>
        <w:t xml:space="preserve"> </w:t>
      </w:r>
      <w:r>
        <w:t xml:space="preserve">Archer</w:t>
      </w:r>
      <w:r>
        <w:t xml:space="preserve"> </w:t>
      </w:r>
      <w:r>
        <w:t xml:space="preserve">não oferece suporte aos cálculos.</w:t>
      </w:r>
    </w:p>
    <w:p>
      <w:pPr>
        <w:pStyle w:val="Compact"/>
        <w:numPr>
          <w:ilvl w:val="0"/>
          <w:numId w:val="1006"/>
        </w:numPr>
      </w:pPr>
      <w:r>
        <w:t xml:space="preserve">Clique em Adicionar novo.</w:t>
      </w:r>
    </w:p>
    <w:bookmarkStart w:id="25" w:name="Exemplocálculoscomuns"/>
    <w:p>
      <w:pPr>
        <w:pStyle w:val="Heading3"/>
      </w:pPr>
      <w:r>
        <w:t xml:space="preserve">Exemplo: cálculos comuns</w:t>
      </w:r>
    </w:p>
    <w:p>
      <w:pPr>
        <w:pStyle w:val="TableCaption"/>
      </w:pPr>
      <w:r>
        <w:t xml:space="preserve">A tabela a seguir fornece cálculos de exemplo.</w:t>
      </w:r>
    </w:p>
    <w:tbl>
      <w:tblPr>
        <w:tblStyle w:val="Table"/>
        <w:tblW w:type="auto" w:w="0"/>
        <w:tblLook w:firstRow="1" w:lastRow="0" w:firstColumn="0" w:lastColumn="0" w:noHBand="0" w:noVBand="0" w:val="0020"/>
        <w:tblCaption w:val="A tabela a seguir fornece cálculos de exemplo."/>
      </w:tblPr>
      <w:tblGrid>
        <w:gridCol w:w="3960"/>
        <w:gridCol w:w="3960"/>
      </w:tblGrid>
      <w:tr>
        <w:trPr>
          <w:tblHeader w:val="on"/>
        </w:trPr>
        <w:tc>
          <w:tcPr/>
          <w:p>
            <w:pPr>
              <w:pStyle w:val="BodyText"/>
            </w:pPr>
            <w:r>
              <w:t xml:space="preserve">Cálculo</w:t>
            </w:r>
          </w:p>
        </w:tc>
        <w:tc>
          <w:tcPr/>
          <w:p>
            <w:pPr>
              <w:pStyle w:val="BodyText"/>
            </w:pPr>
            <w:r>
              <w:t xml:space="preserve">Descrição</w:t>
            </w:r>
          </w:p>
        </w:tc>
      </w:tr>
      <w:tr>
        <w:tc>
          <w:tcPr/>
          <w:p>
            <w:pPr>
              <w:pStyle w:val="BodyText"/>
            </w:pPr>
            <w:r>
              <w:t xml:space="preserve">CONCATENATE([TOLastName], ", ", [TOFirstName])</w:t>
            </w:r>
          </w:p>
        </w:tc>
        <w:tc>
          <w:tcPr/>
          <w:p>
            <w:pPr>
              <w:pStyle w:val="BodyText"/>
            </w:pPr>
            <w:r>
              <w:t xml:space="preserve">Combina os valores de 2 campos em um único valor</w:t>
            </w:r>
          </w:p>
          <w:p>
            <w:pPr>
              <w:pStyle w:val="BodyText"/>
            </w:pPr>
            <w:r>
              <w:t xml:space="preserve">Por exemplo, o feed de dados mescla o valor "Doe" do campo Sobrenome e o valor "John" do campo Nome no valor "Doe, John".</w:t>
            </w:r>
          </w:p>
        </w:tc>
      </w:tr>
      <w:tr>
        <w:tc>
          <w:tcPr/>
          <w:p>
            <w:pPr>
              <w:pStyle w:val="BodyText"/>
            </w:pPr>
            <w:r>
              <w:t xml:space="preserve">If(LEN([IP de Produção])&gt;0,[IP de Produção],If(LEN([IP de Manutenção])&gt;0,[IP de Manutenção],[IP de Backup]))</w:t>
            </w:r>
          </w:p>
        </w:tc>
        <w:tc>
          <w:tcPr/>
          <w:p>
            <w:pPr>
              <w:pStyle w:val="BodyText"/>
            </w:pPr>
            <w:r>
              <w:t xml:space="preserve">Executa uma operação lógica para determinar qual campo usar como valor de origem</w:t>
            </w:r>
          </w:p>
          <w:p>
            <w:pPr>
              <w:pStyle w:val="BodyText"/>
            </w:pPr>
            <w:r>
              <w:t xml:space="preserve">Se o campo IP de produção não estiver vazio, o feed de dados usará o valor desse campo. Se o campo IP de produção estiver vazio e o campo IP de manutenção apresentar um valor, o feed de dados usará o valor do campo IP de manutenção. Se ambos os campos estiverem vazios, o feed de dados usará o valor de IP de backup.</w:t>
            </w:r>
          </w:p>
        </w:tc>
      </w:tr>
    </w:tbl>
    <w:bookmarkEnd w:id="25"/>
    <w:bookmarkEnd w:id="26"/>
    <w:bookmarkStart w:id="27" w:name="X3e1cd9cf196bcb52b1a8b68f4bc4232ed032fca"/>
    <w:p>
      <w:pPr>
        <w:pStyle w:val="Heading2"/>
      </w:pPr>
      <w:r>
        <w:t xml:space="preserve">Inserir um texto estático como valor de campo nos dados de origem</w:t>
      </w:r>
    </w:p>
    <w:p>
      <w:pPr>
        <w:pStyle w:val="FirstParagraph"/>
      </w:pPr>
      <w:r>
        <w:t xml:space="preserve">O Texto estático adiciona um campo extra ao feed de dados, que acrescenta contexto aos dados de origem. Por exemplo, você pode adicionar um campo Texto estático que especifica o nome da fonte, como o nome do banco de dados ou o alimentador de ameaças.</w:t>
      </w:r>
    </w:p>
    <w:p>
      <w:pPr>
        <w:pStyle w:val="BodyText"/>
      </w:pPr>
      <w:r>
        <w:t xml:space="preserve">No aplicativo ou questionário de destino da</w:t>
      </w:r>
      <w:r>
        <w:t xml:space="preserve"> </w:t>
      </w:r>
      <w:r>
        <w:t xml:space="preserve">Archer</w:t>
      </w:r>
      <w:r>
        <w:t xml:space="preserve">, você pode criar um campo chamado Fonte de dados. Quando o alimentador de dados for concluído, todos os registros atualizados por esse alimentador terão o mesmo valor para o campo Fonte de dados. Utilizando essa opção, você pode identificar rapidamente registros atualizados de uma fonte específica e gerar relatórios sobre eles</w:t>
      </w:r>
    </w:p>
    <w:p>
      <w:pPr>
        <w:numPr>
          <w:ilvl w:val="0"/>
          <w:numId w:val="1007"/>
        </w:numPr>
      </w:pPr>
      <w:r>
        <w:t xml:space="preserve">Vá para a guia Definição de origem &gt; guia Dados de origem</w:t>
      </w:r>
    </w:p>
    <w:p>
      <w:pPr>
        <w:pStyle w:val="Compact"/>
        <w:numPr>
          <w:ilvl w:val="0"/>
          <w:numId w:val="1007"/>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7"/>
        </w:numPr>
      </w:pPr>
      <w:r>
        <w:t xml:space="preserve">Digite um nome de campo de origem.</w:t>
      </w:r>
    </w:p>
    <w:p>
      <w:pPr>
        <w:pStyle w:val="Compact"/>
        <w:numPr>
          <w:ilvl w:val="0"/>
          <w:numId w:val="1007"/>
        </w:numPr>
      </w:pPr>
      <w:r>
        <w:t xml:space="preserve">Na lista, selecione Texto estático e digite o texto.</w:t>
      </w:r>
    </w:p>
    <w:p>
      <w:pPr>
        <w:numPr>
          <w:ilvl w:val="0"/>
          <w:numId w:val="1007"/>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7"/>
        </w:numPr>
      </w:pPr>
      <w:r>
        <w:t xml:space="preserve">Clique em Adicionar novo.</w:t>
      </w:r>
    </w:p>
    <w:p>
      <w:pPr>
        <w:numPr>
          <w:ilvl w:val="0"/>
          <w:numId w:val="1007"/>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2025-02-19T20:14:04Z</dcterms:created>
  <dcterms:modified xsi:type="dcterms:W3CDTF">2025-02-19T20:14:04Z</dcterms:modified>
</cp:coreProperties>
</file>

<file path=docProps/custom.xml><?xml version="1.0" encoding="utf-8"?>
<Properties xmlns="http://schemas.openxmlformats.org/officeDocument/2006/custom-properties" xmlns:vt="http://schemas.openxmlformats.org/officeDocument/2006/docPropsVTypes"/>
</file>