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1.png" ContentType="image/png"/>
  <Override PartName="/word/media/rId36.png" ContentType="image/png"/>
  <Override PartName="/word/media/rId58.png" ContentType="image/png"/>
  <Override PartName="/word/media/rId49.png" ContentType="image/png"/>
  <Override PartName="/word/media/rId44.png" ContentType="image/png"/>
  <Override PartName="/word/media/rId68.png" ContentType="image/png"/>
  <Override PartName="/word/media/rId52.png" ContentType="image/png"/>
  <Override PartName="/word/media/rId24.png" ContentType="image/png"/>
  <Override PartName="/word/media/rId2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mc-main-content"/>
    <w:bookmarkStart w:id="77" w:name="X8a24aea8e198c262be7998ac1401cd06cccd069"/>
    <w:p>
      <w:pPr>
        <w:pStyle w:val="Heading1"/>
      </w:pPr>
      <w:bookmarkStart w:id="20" w:name="aanchor109"/>
      <w:bookmarkEnd w:id="20"/>
      <w:r>
        <w:t xml:space="preserve"> </w:t>
      </w:r>
      <w:r>
        <w:t xml:space="preserve">Adicionando feeds de dados padrão de Archer para Archer</w:t>
      </w:r>
    </w:p>
    <w:p>
      <w:pPr>
        <w:pStyle w:val="FirstParagraph"/>
      </w:pPr>
      <w:r>
        <w:t xml:space="preserve">Conclua as seguintes tarefas para adicionar um feed de dados padrão Archer para Archer.</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X6679a1caeaedaaf4ce34aef7921262c98ce5a5c">
        <w:r>
          <w:rPr>
            <w:rStyle w:val="Hyperlink"/>
          </w:rPr>
          <w:t xml:space="preserve">Tarefa 5: Associar os campos de origem aos campos de destino</w:t>
        </w:r>
      </w:hyperlink>
    </w:p>
    <w:p>
      <w:pPr>
        <w:pStyle w:val="Compact"/>
        <w:numPr>
          <w:ilvl w:val="0"/>
          <w:numId w:val="1001"/>
        </w:numPr>
      </w:pPr>
      <w:hyperlink w:anchor="Tarefa6Definircamposchave">
        <w:r>
          <w:rPr>
            <w:rStyle w:val="Hyperlink"/>
          </w:rPr>
          <w:t xml:space="preserve">Tarefa 6: Definir campos-chave</w:t>
        </w:r>
      </w:hyperlink>
    </w:p>
    <w:p>
      <w:pPr>
        <w:pStyle w:val="Compact"/>
        <w:numPr>
          <w:ilvl w:val="0"/>
          <w:numId w:val="1001"/>
        </w:numPr>
      </w:pPr>
      <w:hyperlink w:anchor="Tarefa7Definiroagendamentodofeeddedados">
        <w:r>
          <w:rPr>
            <w:rStyle w:val="Hyperlink"/>
          </w:rPr>
          <w:t xml:space="preserve">Tarefa 7: Definir o agendamento do feed de dados</w:t>
        </w:r>
      </w:hyperlink>
    </w:p>
    <w:p>
      <w:pPr>
        <w:pStyle w:val="Compact"/>
        <w:numPr>
          <w:ilvl w:val="0"/>
          <w:numId w:val="1001"/>
        </w:numPr>
      </w:pPr>
      <w:hyperlink w:anchor="Tarefa8Definirtokensdedados">
        <w:r>
          <w:rPr>
            <w:rStyle w:val="Hyperlink"/>
          </w:rPr>
          <w:t xml:space="preserve">Tarefa 8: Definir tokens de dados</w:t>
        </w:r>
      </w:hyperlink>
    </w:p>
    <w:p>
      <w:pPr>
        <w:pStyle w:val="Compact"/>
        <w:numPr>
          <w:ilvl w:val="0"/>
          <w:numId w:val="1001"/>
        </w:numPr>
      </w:pPr>
      <w:hyperlink w:anchor="Xe8dbc084ce9eede17799faa781678754f0b398f">
        <w:r>
          <w:rPr>
            <w:rStyle w:val="Hyperlink"/>
          </w:rPr>
          <w:t xml:space="preserve">Tarefa 9: Definir regras para o arquivamento e a atualização dos registros</w:t>
        </w:r>
      </w:hyperlink>
    </w:p>
    <w:p>
      <w:pPr>
        <w:pStyle w:val="Compact"/>
        <w:numPr>
          <w:ilvl w:val="0"/>
          <w:numId w:val="1001"/>
        </w:numPr>
      </w:pPr>
      <w:hyperlink w:anchor="X4ca88adebf5e45e174ef2b889d4a01d75eed5e0">
        <w:r>
          <w:rPr>
            <w:rStyle w:val="Hyperlink"/>
          </w:rPr>
          <w:t xml:space="preserve">Tarefa 10: Definir configurações de otimização e notificação</w:t>
        </w:r>
      </w:hyperlink>
    </w:p>
    <w:bookmarkStart w:id="31"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4"/>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31"/>
    <w:bookmarkStart w:id="33" w:name="Tarefa2Definirométododetransporte"/>
    <w:p>
      <w:pPr>
        <w:pStyle w:val="Heading2"/>
      </w:pPr>
      <w:r>
        <w:t xml:space="preserve">Tarefa 2: Definir o método de transporte</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numPr>
          <w:ilvl w:val="0"/>
          <w:numId w:val="1008"/>
        </w:numPr>
      </w:pPr>
      <w:r>
        <w:t xml:space="preserve">Na lista Método de transporte, selecione um tipo de transporte.</w:t>
      </w:r>
    </w:p>
    <w:p>
      <w:pPr>
        <w:numPr>
          <w:ilvl w:val="0"/>
          <w:numId w:val="1008"/>
        </w:numPr>
      </w:pPr>
      <w:r>
        <w:t xml:space="preserve">Na seção Propriedades de log-on, digite as credenciais aplicáveis para fazer log-on na instância do Archer. Você pode especificar se a instância do Archer usa autenticação anônima ou Autenticação do Windows.</w:t>
      </w:r>
    </w:p>
    <w:p>
      <w:pPr>
        <w:numPr>
          <w:ilvl w:val="0"/>
          <w:numId w:val="1008"/>
        </w:numPr>
      </w:pPr>
      <w:r>
        <w:t xml:space="preserve">Na seção Configuração de Transporte, selecione um Tipo de Pesquisa e execute um dos seguintes procedimentos:</w:t>
      </w:r>
    </w:p>
    <w:p>
      <w:pPr>
        <w:numPr>
          <w:ilvl w:val="1"/>
          <w:numId w:val="1009"/>
        </w:numPr>
      </w:pPr>
      <w:r>
        <w:t xml:space="preserve">Digite as credenciais da conta que executa o relatório. Os resultados do relatório serão baseados nas permissões dessa conta.</w:t>
      </w:r>
    </w:p>
    <w:p>
      <w:pPr>
        <w:numPr>
          <w:ilvl w:val="1"/>
          <w:numId w:val="1000"/>
        </w:numPr>
      </w:pPr>
      <w:r>
        <w:rPr>
          <w:b/>
          <w:bCs/>
        </w:rPr>
        <w:t xml:space="preserve">Observação:</w:t>
      </w:r>
      <w:r>
        <w:t xml:space="preserve"> </w:t>
      </w:r>
      <w:r>
        <w:t xml:space="preserve">A conta pode ser um administrador de conteúdo com permissões de acesso total ao conteúdo dos aplicativos. Não utilize a mesma conta que você usou para fazer log-on.</w:t>
      </w:r>
    </w:p>
    <w:p>
      <w:pPr>
        <w:numPr>
          <w:ilvl w:val="1"/>
          <w:numId w:val="1009"/>
        </w:numPr>
      </w:pPr>
      <w:r>
        <w:t xml:space="preserve">Selecione Usar Autenticação do Windows. O logon único deve ser configurado na instância de origem para usar esta opção.</w:t>
      </w:r>
    </w:p>
    <w:p>
      <w:pPr>
        <w:numPr>
          <w:ilvl w:val="0"/>
          <w:numId w:val="1008"/>
        </w:numPr>
      </w:pPr>
      <w:r>
        <w:t xml:space="preserve">Se você selecionou ID do relatório de estatística ou ID do relatório como o Tipo de pesquisa, digite o GUID ou ID do relatório que contém os dados de origem.</w:t>
      </w:r>
    </w:p>
    <w:p>
      <w:pPr>
        <w:numPr>
          <w:ilvl w:val="0"/>
          <w:numId w:val="1008"/>
        </w:numPr>
      </w:pPr>
      <w:r>
        <w:t xml:space="preserve">Digite os nomes de domínio e instância a serem pesquisados.</w:t>
      </w:r>
    </w:p>
    <w:p>
      <w:pPr>
        <w:numPr>
          <w:ilvl w:val="0"/>
          <w:numId w:val="1008"/>
        </w:numPr>
      </w:pPr>
      <w:r>
        <w:t xml:space="preserve">Se você selecionou Pesquisar XML como o Tipo de pesquisa, digite as seguintes informações:</w:t>
      </w:r>
    </w:p>
    <w:p>
      <w:pPr>
        <w:numPr>
          <w:ilvl w:val="1"/>
          <w:numId w:val="1010"/>
        </w:numPr>
      </w:pPr>
      <w:r>
        <w:t xml:space="preserve">Registros por arquivo: O número de arquivos recuperados da chamada API.</w:t>
      </w:r>
    </w:p>
    <w:p>
      <w:pPr>
        <w:numPr>
          <w:ilvl w:val="1"/>
          <w:numId w:val="1010"/>
        </w:numPr>
      </w:pPr>
      <w:r>
        <w:t xml:space="preserve">GUID do aplicativo: o aplicativo que contém os dados de origem.</w:t>
      </w:r>
    </w:p>
    <w:p>
      <w:pPr>
        <w:numPr>
          <w:ilvl w:val="1"/>
          <w:numId w:val="1010"/>
        </w:numPr>
      </w:pPr>
      <w:r>
        <w:t xml:space="preserve">String de configuração: parâmetros passados para o método SearchRecords na API SOAP para executar uma pesquisa.</w:t>
      </w:r>
    </w:p>
    <w:p>
      <w:pPr>
        <w:numPr>
          <w:ilvl w:val="0"/>
          <w:numId w:val="1008"/>
        </w:numPr>
      </w:pPr>
      <w:r>
        <w:t xml:space="preserve">No campo Opção de proxy, selecione Usar proxy do sistema.</w:t>
      </w:r>
    </w:p>
    <w:p>
      <w:pPr>
        <w:numPr>
          <w:ilvl w:val="0"/>
          <w:numId w:val="1008"/>
        </w:numPr>
      </w:pPr>
      <w:r>
        <w:t xml:space="preserve">Nos campos aplicáveis, forneça o nome, a ID da porta e o domínio do servidor proxy e as credenciais do usuário para efetuar logon no servidor proxy.</w:t>
      </w:r>
    </w:p>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2" w:name="Tokensdenomedearquivo"/>
            <w:r>
              <w:t xml:space="preserve">Tokens de nome de arquivo</w:t>
            </w:r>
            <w:bookmarkEnd w:id="32"/>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1"/>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1"/>
              </w:numPr>
            </w:pPr>
            <w:r>
              <w:t xml:space="preserve">DataFileDirectoryName. Update the filename with the directory name, including the drive, of your file.</w:t>
            </w:r>
          </w:p>
          <w:p>
            <w:pPr>
              <w:numPr>
                <w:ilvl w:val="0"/>
                <w:numId w:val="1011"/>
              </w:numPr>
            </w:pPr>
            <w:r>
              <w:t xml:space="preserve">DataFileName. Insert the original filename, excluding the directory name and extension.</w:t>
            </w:r>
          </w:p>
          <w:p>
            <w:pPr>
              <w:numPr>
                <w:ilvl w:val="0"/>
                <w:numId w:val="1011"/>
              </w:numPr>
            </w:pPr>
            <w:r>
              <w:t xml:space="preserve">DataFileExtension. Insert the file extension, such as .csv, in the new filename.</w:t>
            </w:r>
          </w:p>
          <w:p>
            <w:pPr>
              <w:numPr>
                <w:ilvl w:val="0"/>
                <w:numId w:val="1011"/>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2"/>
              </w:numPr>
            </w:pPr>
            <w:r>
              <w:t xml:space="preserve">Input Tokens: {DataFileDirectoryName}\success\{DataFileName}_{Now(MM.dd.yyyy)}.{DataFileExtension}</w:t>
            </w:r>
          </w:p>
          <w:p>
            <w:pPr>
              <w:pStyle w:val="Compact"/>
              <w:numPr>
                <w:ilvl w:val="0"/>
                <w:numId w:val="1012"/>
              </w:numPr>
            </w:pPr>
            <w:r>
              <w:t xml:space="preserve">Output: C:\DataFeed\Source\ESL\processed\success\ThreatData_01.31.2008.csv</w:t>
            </w:r>
          </w:p>
          <w:p>
            <w:pPr>
              <w:pStyle w:val="FirstParagraph"/>
            </w:pPr>
            <w:r>
              <w:t xml:space="preserve">Example 2</w:t>
            </w:r>
          </w:p>
          <w:p>
            <w:pPr>
              <w:pStyle w:val="Compact"/>
              <w:numPr>
                <w:ilvl w:val="0"/>
                <w:numId w:val="1013"/>
              </w:numPr>
            </w:pPr>
            <w:r>
              <w:t xml:space="preserve">Input Tokens: \\DFSRepository\{Now(yyyy)}\{Now(MM)}\{DataFileName}_success.{DataFileExtension}</w:t>
            </w:r>
          </w:p>
          <w:p>
            <w:pPr>
              <w:pStyle w:val="Compact"/>
              <w:numPr>
                <w:ilvl w:val="0"/>
                <w:numId w:val="1013"/>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4"/>
        </w:numPr>
      </w:pPr>
      <w:r>
        <w:t xml:space="preserve">Para continuar configurando o feed de dados, vá para a próxima tarefa.</w:t>
      </w:r>
    </w:p>
    <w:p>
      <w:pPr>
        <w:pStyle w:val="Compact"/>
        <w:numPr>
          <w:ilvl w:val="1"/>
          <w:numId w:val="1014"/>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11 e 12.</w:t>
      </w:r>
    </w:p>
    <w:bookmarkEnd w:id="33"/>
    <w:bookmarkStart w:id="34" w:name="Tarefa3DefinaoformatoXMLdosdadosdeorigem"/>
    <w:p>
      <w:pPr>
        <w:pStyle w:val="Heading2"/>
      </w:pPr>
      <w:r>
        <w:t xml:space="preserve">Tarefa 3: Defina o formato XML dos dados de origem</w:t>
      </w:r>
    </w:p>
    <w:p>
      <w:pPr>
        <w:pStyle w:val="FirstParagraph"/>
      </w:pPr>
      <w:r>
        <w:t xml:space="preserve">Use esta tarefa para transformar a estrutura XML do arquivo de origem.</w:t>
      </w:r>
    </w:p>
    <w:p>
      <w:pPr>
        <w:pStyle w:val="Compact"/>
        <w:numPr>
          <w:ilvl w:val="0"/>
          <w:numId w:val="1015"/>
        </w:numPr>
      </w:pPr>
      <w:r>
        <w:t xml:space="preserve">Vá para a guia Análise de origem do feed de dados.</w:t>
      </w:r>
    </w:p>
    <w:p>
      <w:pPr>
        <w:numPr>
          <w:ilvl w:val="0"/>
          <w:numId w:val="1015"/>
        </w:numPr>
      </w:pPr>
      <w:r>
        <w:t xml:space="preserve">No campo Formato de origem, selecione XML.</w:t>
      </w:r>
    </w:p>
    <w:p>
      <w:pPr>
        <w:pStyle w:val="Compact"/>
        <w:numPr>
          <w:ilvl w:val="0"/>
          <w:numId w:val="1015"/>
        </w:numPr>
      </w:pPr>
      <w:r>
        <w:t xml:space="preserve">Na seção Definição de arquivo, se você deseja modificar a estrutura de seus dados de origem:</w:t>
      </w:r>
    </w:p>
    <w:p>
      <w:pPr>
        <w:numPr>
          <w:ilvl w:val="0"/>
          <w:numId w:val="1015"/>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34"/>
    <w:bookmarkStart w:id="43"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5"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35"/>
    <w:bookmarkStart w:id="42"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drawing>
          <wp:inline>
            <wp:extent cx="179043" cy="51155"/>
            <wp:effectExtent b="0" l="0" r="0" t="0"/>
            <wp:docPr descr="Reticências" title="Reticências" id="37" name="Picture"/>
            <a:graphic>
              <a:graphicData uri="http://schemas.openxmlformats.org/drawingml/2006/picture">
                <pic:pic>
                  <pic:nvPicPr>
                    <pic:cNvPr descr="C:/Users/samue/WebScrapper/HelpArcher-to-pdf/images/55cf25731e07976dbceb7b679de33b95.png" id="38"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drawing>
          <wp:inline>
            <wp:extent cx="269507" cy="231006"/>
            <wp:effectExtent b="0" l="0" r="0" t="0"/>
            <wp:docPr descr="Selecionar" title="" id="39" name="Picture"/>
            <a:graphic>
              <a:graphicData uri="http://schemas.openxmlformats.org/drawingml/2006/picture">
                <pic:pic>
                  <pic:nvPicPr>
                    <pic:cNvPr descr="C:/Users/samue/WebScrapper/HelpArcher-to-pdf/images/d5f41aba762f45a96a44007145ed5a8a.png" id="40"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41">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42"/>
    <w:bookmarkEnd w:id="43"/>
    <w:bookmarkStart w:id="57" w:name="X6679a1caeaedaaf4ce34aef7921262c98ce5a5c"/>
    <w:p>
      <w:pPr>
        <w:pStyle w:val="Heading2"/>
      </w:pPr>
      <w:r>
        <w:t xml:space="preserve">Tarefa 5: Associar os campos de origem aos campos de destino</w:t>
      </w:r>
    </w:p>
    <w:p>
      <w:pPr>
        <w:numPr>
          <w:ilvl w:val="0"/>
          <w:numId w:val="1021"/>
        </w:numPr>
      </w:pPr>
      <w:r>
        <w:t xml:space="preserve">Vá para a guia Mapa de dados &gt; guia Mapa de campo.</w:t>
      </w:r>
    </w:p>
    <w:p>
      <w:pPr>
        <w:pStyle w:val="Compact"/>
        <w:numPr>
          <w:ilvl w:val="0"/>
          <w:numId w:val="1021"/>
        </w:numPr>
      </w:pPr>
      <w:r>
        <w:t xml:space="preserve">Associe o campo de origem ao aplicativo ou ao questionário aplicável. Execute um destes procedimentos:</w:t>
      </w:r>
    </w:p>
    <w:p>
      <w:pPr>
        <w:numPr>
          <w:ilvl w:val="1"/>
          <w:numId w:val="1022"/>
        </w:numPr>
      </w:pPr>
      <w:r>
        <w:t xml:space="preserve">Na coluna Ações do painel Campo de destino, clique em</w:t>
      </w:r>
      <w:r>
        <w:t xml:space="preserve"> </w:t>
      </w:r>
      <w:r>
        <w:drawing>
          <wp:inline>
            <wp:extent cx="230198" cy="198226"/>
            <wp:effectExtent b="0" l="0" r="0" t="0"/>
            <wp:docPr descr="Modo de mapa de feeds de dados" title="" id="45" name="Picture"/>
            <a:graphic>
              <a:graphicData uri="http://schemas.openxmlformats.org/drawingml/2006/picture">
                <pic:pic>
                  <pic:nvPicPr>
                    <pic:cNvPr descr="C:/Users/samue/WebScrapper/HelpArcher-to-pdf/images/843ba2d5fcc3dc7b7558b4852b404d9a.png" id="46" name="Picture"/>
                    <pic:cNvPicPr>
                      <a:picLocks noChangeArrowheads="1" noChangeAspect="1"/>
                    </pic:cNvPicPr>
                  </pic:nvPicPr>
                  <pic:blipFill>
                    <a:blip r:embed="rId44"/>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22"/>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47" name="Picture"/>
            <a:graphic>
              <a:graphicData uri="http://schemas.openxmlformats.org/drawingml/2006/picture">
                <pic:pic>
                  <pic:nvPicPr>
                    <pic:cNvPr descr="C:/Users/samue/WebScrapper/HelpArcher-to-pdf/images/843ba2d5fcc3dc7b7558b4852b404d9a.png" id="48" name="Picture"/>
                    <pic:cNvPicPr>
                      <a:picLocks noChangeArrowheads="1" noChangeAspect="1"/>
                    </pic:cNvPicPr>
                  </pic:nvPicPr>
                  <pic:blipFill>
                    <a:blip r:embed="rId44"/>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1"/>
        </w:numPr>
      </w:pPr>
      <w:r>
        <w:t xml:space="preserve">(Opcional) Para configurar os campos mapeados, na coluna Ações, selecione</w:t>
      </w:r>
      <w:r>
        <w:t xml:space="preserve"> </w:t>
      </w:r>
      <w:r>
        <w:drawing>
          <wp:inline>
            <wp:extent cx="287748" cy="287748"/>
            <wp:effectExtent b="0" l="0" r="0" t="0"/>
            <wp:docPr descr="Editar" title="" id="50" name="Picture"/>
            <a:graphic>
              <a:graphicData uri="http://schemas.openxmlformats.org/drawingml/2006/picture">
                <pic:pic>
                  <pic:nvPicPr>
                    <pic:cNvPr descr="C:/Users/samue/WebScrapper/HelpArcher-to-pdf/images/70cc7a39719720cf29cf8ab77274f846.png" id="51" name="Picture"/>
                    <pic:cNvPicPr>
                      <a:picLocks noChangeArrowheads="1" noChangeAspect="1"/>
                    </pic:cNvPicPr>
                  </pic:nvPicPr>
                  <pic:blipFill>
                    <a:blip r:embed="rId49"/>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21"/>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1"/>
        </w:numPr>
      </w:pPr>
      <w:r>
        <w:t xml:space="preserve">(Opcional) Realize uma ou mais das seguintes ações:</w:t>
      </w:r>
    </w:p>
    <w:p>
      <w:pPr>
        <w:pStyle w:val="Compact"/>
        <w:numPr>
          <w:ilvl w:val="1"/>
          <w:numId w:val="1023"/>
        </w:numPr>
      </w:pPr>
      <w:r>
        <w:t xml:space="preserve">Para excluir um mapeamento para um único campo, na coluna Ações, clique em</w:t>
      </w:r>
      <w:r>
        <w:t xml:space="preserve"> </w:t>
      </w:r>
      <w:r>
        <w:drawing>
          <wp:inline>
            <wp:extent cx="115099" cy="147071"/>
            <wp:effectExtent b="0" l="0" r="0" t="0"/>
            <wp:docPr descr="Excluir" title="Excluir" id="53" name="Picture"/>
            <a:graphic>
              <a:graphicData uri="http://schemas.openxmlformats.org/drawingml/2006/picture">
                <pic:pic>
                  <pic:nvPicPr>
                    <pic:cNvPr descr="C:/Users/samue/WebScrapper/HelpArcher-to-pdf/images/be61e53e6ea717b4ca37471949d24055.png" id="54" name="Picture"/>
                    <pic:cNvPicPr>
                      <a:picLocks noChangeArrowheads="1" noChangeAspect="1"/>
                    </pic:cNvPicPr>
                  </pic:nvPicPr>
                  <pic:blipFill>
                    <a:blip r:embed="rId52"/>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23"/>
        </w:numPr>
      </w:pPr>
      <w:r>
        <w:t xml:space="preserve">Para excluir os mapeamentos de todos os campos, no painel Campo de origem, clique em</w:t>
      </w:r>
      <w:r>
        <w:t xml:space="preserve"> </w:t>
      </w:r>
      <w:r>
        <w:drawing>
          <wp:inline>
            <wp:extent cx="179043" cy="51155"/>
            <wp:effectExtent b="0" l="0" r="0" t="0"/>
            <wp:docPr descr="Reticências" title="Reticências" id="55" name="Picture"/>
            <a:graphic>
              <a:graphicData uri="http://schemas.openxmlformats.org/drawingml/2006/picture">
                <pic:pic>
                  <pic:nvPicPr>
                    <pic:cNvPr descr="C:/Users/samue/WebScrapper/HelpArcher-to-pdf/images/55cf25731e07976dbceb7b679de33b95.png" id="56"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1"/>
        </w:numPr>
      </w:pPr>
      <w:r>
        <w:t xml:space="preserve">Execute um destes procedimentos:</w:t>
      </w:r>
    </w:p>
    <w:p>
      <w:pPr>
        <w:pStyle w:val="Compact"/>
        <w:numPr>
          <w:ilvl w:val="1"/>
          <w:numId w:val="1024"/>
        </w:numPr>
      </w:pPr>
      <w:r>
        <w:t xml:space="preserve">Para continuar configurando o feed de dados, vá para a próxima tarefa.</w:t>
      </w:r>
    </w:p>
    <w:p>
      <w:pPr>
        <w:pStyle w:val="Compact"/>
        <w:numPr>
          <w:ilvl w:val="1"/>
          <w:numId w:val="1024"/>
        </w:numPr>
      </w:pPr>
      <w:r>
        <w:t xml:space="preserve">Para terminar de configurar o feed mais tarde, clique em Salvar ou Salvar e fechar.</w:t>
      </w:r>
    </w:p>
    <w:bookmarkEnd w:id="57"/>
    <w:bookmarkStart w:id="66" w:name="Tarefa6Definircamposchave"/>
    <w:p>
      <w:pPr>
        <w:pStyle w:val="Heading2"/>
      </w:pPr>
      <w:r>
        <w:t xml:space="preserve">Tarefa 6: Definir campos-chave</w:t>
      </w:r>
    </w:p>
    <w:p>
      <w:pPr>
        <w:pStyle w:val="FirstParagraph"/>
      </w:pPr>
      <w:r>
        <w:t xml:space="preserve">Para definir campos-chave, conclua as seguintes etapas:</w:t>
      </w:r>
    </w:p>
    <w:p>
      <w:pPr>
        <w:numPr>
          <w:ilvl w:val="0"/>
          <w:numId w:val="1025"/>
        </w:numPr>
      </w:pPr>
      <w:r>
        <w:t xml:space="preserve">Vá para a guia Mapa de dados &gt; guia Definição de campo de chave.</w:t>
      </w:r>
    </w:p>
    <w:p>
      <w:pPr>
        <w:numPr>
          <w:ilvl w:val="0"/>
          <w:numId w:val="1025"/>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25"/>
        </w:numPr>
      </w:pPr>
      <w:r>
        <w:t xml:space="preserve">Na barra de títulos da seção Definições de campo-chave, clique em</w:t>
      </w:r>
      <w:r>
        <w:t xml:space="preserve"> </w:t>
      </w:r>
      <w:r>
        <w:drawing>
          <wp:inline>
            <wp:extent cx="147071" cy="147071"/>
            <wp:effectExtent b="0" l="0" r="0" t="0"/>
            <wp:docPr descr="Adicionar" title="Adicionar" id="59" name="Picture"/>
            <a:graphic>
              <a:graphicData uri="http://schemas.openxmlformats.org/drawingml/2006/picture">
                <pic:pic>
                  <pic:nvPicPr>
                    <pic:cNvPr descr="C:/Users/samue/WebScrapper/HelpArcher-to-pdf/images/5a5e3418965144f3d204a91a19c3fd04.png" id="60" name="Picture"/>
                    <pic:cNvPicPr>
                      <a:picLocks noChangeArrowheads="1" noChangeAspect="1"/>
                    </pic:cNvPicPr>
                  </pic:nvPicPr>
                  <pic:blipFill>
                    <a:blip r:embed="rId58"/>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25"/>
        </w:numPr>
      </w:pPr>
      <w:r>
        <w:t xml:space="preserve">No campo Nome do campo, selecione um campo do aplicativo ou questionário de destino que identifique exclusivamente o registro.</w:t>
      </w:r>
    </w:p>
    <w:p>
      <w:pPr>
        <w:pStyle w:val="Compact"/>
        <w:numPr>
          <w:ilvl w:val="0"/>
          <w:numId w:val="1025"/>
        </w:numPr>
      </w:pPr>
      <w:r>
        <w:t xml:space="preserve">(Opcional) Atribua teclas de combinação para o registro. Faça o seguinte:</w:t>
      </w:r>
    </w:p>
    <w:p>
      <w:pPr>
        <w:pStyle w:val="Compact"/>
        <w:numPr>
          <w:ilvl w:val="1"/>
          <w:numId w:val="1026"/>
        </w:numPr>
      </w:pPr>
      <w:r>
        <w:t xml:space="preserve">Na coluna Ações, clique em</w:t>
      </w:r>
      <w:r>
        <w:t xml:space="preserve"> </w:t>
      </w:r>
      <w:r>
        <w:drawing>
          <wp:inline>
            <wp:extent cx="147071" cy="147071"/>
            <wp:effectExtent b="0" l="0" r="0" t="0"/>
            <wp:docPr descr="Adicionar" title="Adicionar" id="61" name="Picture"/>
            <a:graphic>
              <a:graphicData uri="http://schemas.openxmlformats.org/drawingml/2006/picture">
                <pic:pic>
                  <pic:nvPicPr>
                    <pic:cNvPr descr="C:/Users/samue/WebScrapper/HelpArcher-to-pdf/images/5a5e3418965144f3d204a91a19c3fd04.png" id="62" name="Picture"/>
                    <pic:cNvPicPr>
                      <a:picLocks noChangeArrowheads="1" noChangeAspect="1"/>
                    </pic:cNvPicPr>
                  </pic:nvPicPr>
                  <pic:blipFill>
                    <a:blip r:embed="rId58"/>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26"/>
        </w:numPr>
      </w:pPr>
      <w:r>
        <w:t xml:space="preserve">No campo Nome do campo, selecione um campo.</w:t>
      </w:r>
    </w:p>
    <w:p>
      <w:pPr>
        <w:numPr>
          <w:ilvl w:val="0"/>
          <w:numId w:val="1025"/>
        </w:numPr>
      </w:pPr>
      <w:r>
        <w:t xml:space="preserve">(Opcional) Na coluna Ações, clique em</w:t>
      </w:r>
      <w:r>
        <w:t xml:space="preserve"> </w:t>
      </w:r>
      <w:r>
        <w:drawing>
          <wp:inline>
            <wp:extent cx="176732" cy="207468"/>
            <wp:effectExtent b="0" l="0" r="0" t="0"/>
            <wp:docPr descr="Adicionar chave simples" title="" id="64" name="Picture"/>
            <a:graphic>
              <a:graphicData uri="http://schemas.openxmlformats.org/drawingml/2006/picture">
                <pic:pic>
                  <pic:nvPicPr>
                    <pic:cNvPr descr="C:/Users/samue/WebScrapper/HelpArcher-to-pdf/images/e383167a40597b8c91742076ba821620.png" id="65" name="Picture"/>
                    <pic:cNvPicPr>
                      <a:picLocks noChangeArrowheads="1" noChangeAspect="1"/>
                    </pic:cNvPicPr>
                  </pic:nvPicPr>
                  <pic:blipFill>
                    <a:blip r:embed="rId63"/>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25"/>
        </w:numPr>
      </w:pPr>
      <w:r>
        <w:t xml:space="preserve">Na coluna Operador, selecione a opção aplicável para os critérios de correspondência da chave simples.</w:t>
      </w:r>
    </w:p>
    <w:p>
      <w:pPr>
        <w:numPr>
          <w:ilvl w:val="0"/>
          <w:numId w:val="1025"/>
        </w:numPr>
      </w:pPr>
      <w:r>
        <w:t xml:space="preserve">Execute um destes procedimentos:</w:t>
      </w:r>
    </w:p>
    <w:p>
      <w:pPr>
        <w:pStyle w:val="Compact"/>
        <w:numPr>
          <w:ilvl w:val="1"/>
          <w:numId w:val="1027"/>
        </w:numPr>
      </w:pPr>
      <w:r>
        <w:t xml:space="preserve">Para continuar configurando o feed de dados, vá para a próxima tarefa.</w:t>
      </w:r>
    </w:p>
    <w:p>
      <w:pPr>
        <w:pStyle w:val="Compact"/>
        <w:numPr>
          <w:ilvl w:val="1"/>
          <w:numId w:val="1027"/>
        </w:numPr>
      </w:pPr>
      <w:r>
        <w:t xml:space="preserve">Para terminar de configurar o feed mais tarde, clique em Salvar ou Salvar e fechar.</w:t>
      </w:r>
    </w:p>
    <w:bookmarkEnd w:id="66"/>
    <w:bookmarkStart w:id="67" w:name="Tarefa7Definiroagendamentodofeeddedados"/>
    <w:p>
      <w:pPr>
        <w:pStyle w:val="Heading2"/>
      </w:pPr>
      <w:r>
        <w:t xml:space="preserve">Tarefa 7: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28"/>
        </w:numPr>
      </w:pPr>
      <w:r>
        <w:t xml:space="preserve">Vá para a guia Executar a configuração &gt; seção Agendamento.</w:t>
      </w:r>
    </w:p>
    <w:p>
      <w:pPr>
        <w:numPr>
          <w:ilvl w:val="0"/>
          <w:numId w:val="1028"/>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29"/>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29"/>
              </w:numPr>
            </w:pPr>
            <w:r>
              <w:t xml:space="preserve">A cada hora. Executa o feed de dados conforme o intervalo definido, por exemplo, a cada hora (1), em horas alternadas (2) etc.</w:t>
            </w:r>
          </w:p>
          <w:p>
            <w:pPr>
              <w:pStyle w:val="Compact"/>
              <w:numPr>
                <w:ilvl w:val="0"/>
                <w:numId w:val="1029"/>
              </w:numPr>
            </w:pPr>
            <w:r>
              <w:t xml:space="preserve">Diariamente. Executa o feed de dados conforme o intervalo definido, por exemplo, todos os dias (1), em dias alternados (2) etc.</w:t>
            </w:r>
          </w:p>
          <w:p>
            <w:pPr>
              <w:pStyle w:val="Compact"/>
              <w:numPr>
                <w:ilvl w:val="0"/>
                <w:numId w:val="1029"/>
              </w:numPr>
            </w:pPr>
            <w:r>
              <w:t xml:space="preserve">Semanalmente. Executa o feed de dados com base em um dia especificado da semana, por exemplo, quinzenalmente às segundas-feiras (2), a cada três segundas-feiras (3) etc.</w:t>
            </w:r>
          </w:p>
          <w:p>
            <w:pPr>
              <w:pStyle w:val="Compact"/>
              <w:numPr>
                <w:ilvl w:val="0"/>
                <w:numId w:val="1029"/>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28"/>
        </w:numPr>
      </w:pPr>
      <w:r>
        <w:t xml:space="preserve">Para salvar o feed de dados, clique em Salvar ou Salvar e fechar.</w:t>
      </w:r>
    </w:p>
    <w:p>
      <w:pPr>
        <w:numPr>
          <w:ilvl w:val="0"/>
          <w:numId w:val="1028"/>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67"/>
    <w:bookmarkStart w:id="74" w:name="Tarefa8Definirtokensdedados"/>
    <w:p>
      <w:pPr>
        <w:pStyle w:val="Heading2"/>
      </w:pPr>
      <w:r>
        <w:t xml:space="preserve">Tarefa 8: Definir tokens de dados</w:t>
      </w:r>
    </w:p>
    <w:p>
      <w:pPr>
        <w:pStyle w:val="Compact"/>
        <w:numPr>
          <w:ilvl w:val="0"/>
          <w:numId w:val="1031"/>
        </w:numPr>
      </w:pPr>
      <w:r>
        <w:t xml:space="preserve">Vá para a guia Executar a configuração &gt; seção Agendamento.</w:t>
      </w:r>
    </w:p>
    <w:p>
      <w:pPr>
        <w:pStyle w:val="Compact"/>
        <w:numPr>
          <w:ilvl w:val="0"/>
          <w:numId w:val="1031"/>
        </w:numPr>
      </w:pPr>
      <w:r>
        <w:t xml:space="preserve">(Opcional) Clique em</w:t>
      </w:r>
      <w:r>
        <w:t xml:space="preserve"> </w:t>
      </w:r>
      <w:r>
        <w:drawing>
          <wp:inline>
            <wp:extent cx="172648" cy="172648"/>
            <wp:effectExtent b="0" l="0" r="0" t="0"/>
            <wp:docPr descr="Adicionar" title="" id="69" name="Picture"/>
            <a:graphic>
              <a:graphicData uri="http://schemas.openxmlformats.org/drawingml/2006/picture">
                <pic:pic>
                  <pic:nvPicPr>
                    <pic:cNvPr descr="C:/Users/samue/WebScrapper/HelpArcher-to-pdf/images/a2a8d8b4505c89cc2c093bb3b364bb89.png" id="70" name="Picture"/>
                    <pic:cNvPicPr>
                      <a:picLocks noChangeArrowheads="1" noChangeAspect="1"/>
                    </pic:cNvPicPr>
                  </pic:nvPicPr>
                  <pic:blipFill>
                    <a:blip r:embed="rId68"/>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31"/>
        </w:numPr>
      </w:pPr>
      <w:r>
        <w:t xml:space="preserve">No campo Valor do token que você deseja modificar, informe o valor atualizado.</w:t>
      </w:r>
    </w:p>
    <w:p>
      <w:pPr>
        <w:pStyle w:val="Compact"/>
        <w:numPr>
          <w:ilvl w:val="0"/>
          <w:numId w:val="1031"/>
        </w:numPr>
      </w:pPr>
      <w:r>
        <w:t xml:space="preserve">(Opcional) Na coluna Ações, clique em</w:t>
      </w:r>
      <w:r>
        <w:t xml:space="preserve"> </w:t>
      </w:r>
      <w:r>
        <w:drawing>
          <wp:inline>
            <wp:extent cx="253573" cy="230521"/>
            <wp:effectExtent b="0" l="0" r="0" t="0"/>
            <wp:docPr descr="Remover" title="" id="72" name="Picture"/>
            <a:graphic>
              <a:graphicData uri="http://schemas.openxmlformats.org/drawingml/2006/picture">
                <pic:pic>
                  <pic:nvPicPr>
                    <pic:cNvPr descr="C:/Users/samue/WebScrapper/HelpArcher-to-pdf/images/00198637c0db142beeddb760cdab14de.png" id="73" name="Picture"/>
                    <pic:cNvPicPr>
                      <a:picLocks noChangeArrowheads="1" noChangeAspect="1"/>
                    </pic:cNvPicPr>
                  </pic:nvPicPr>
                  <pic:blipFill>
                    <a:blip r:embed="rId71"/>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31"/>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74"/>
    <w:bookmarkStart w:id="75" w:name="X568dc72dd8dd0d51ee19bad1fa9d974c0039e4f"/>
    <w:p>
      <w:pPr>
        <w:pStyle w:val="Heading2"/>
      </w:pPr>
      <w:r>
        <w:t xml:space="preserve">Tarefa 9: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3"/>
        </w:numPr>
      </w:pPr>
      <w:r>
        <w:t xml:space="preserve">Vá para a guia Executar a configuração &gt; seção Processamento de registro de destino.</w:t>
      </w:r>
    </w:p>
    <w:p>
      <w:pPr>
        <w:pStyle w:val="Compact"/>
        <w:numPr>
          <w:ilvl w:val="0"/>
          <w:numId w:val="1033"/>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3"/>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4"/>
              </w:numPr>
            </w:pPr>
            <w:r>
              <w:t xml:space="preserve">Nível 3 ou inferior em um aplicativo em níveis.</w:t>
            </w:r>
          </w:p>
          <w:p>
            <w:pPr>
              <w:pStyle w:val="Compact"/>
              <w:numPr>
                <w:ilvl w:val="0"/>
                <w:numId w:val="1034"/>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75"/>
    <w:bookmarkStart w:id="76" w:name="Xc317e387af28456acb92d96eb3e60e42073cbf1"/>
    <w:p>
      <w:pPr>
        <w:pStyle w:val="Heading2"/>
      </w:pPr>
      <w:r>
        <w:t xml:space="preserve">Tarefa 10: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36"/>
        </w:numPr>
      </w:pPr>
      <w:r>
        <w:t xml:space="preserve">Vá para a guia Executar a configuração &gt; seção Pós-processamento.</w:t>
      </w:r>
    </w:p>
    <w:p>
      <w:pPr>
        <w:numPr>
          <w:ilvl w:val="0"/>
          <w:numId w:val="1036"/>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36"/>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37"/>
              </w:numPr>
            </w:pPr>
            <w:r>
              <w:t xml:space="preserve">Todos os status - Sucesso, aviso e falha</w:t>
            </w:r>
          </w:p>
          <w:p>
            <w:pPr>
              <w:numPr>
                <w:ilvl w:val="0"/>
                <w:numId w:val="1037"/>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36"/>
        </w:numPr>
      </w:pPr>
      <w:r>
        <w:t xml:space="preserve">Para salvar o feed de dados, clique em Salvar ou Salvar e fechar.</w:t>
      </w:r>
    </w:p>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68" Target="media/rId68.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63" Target="media/rId63.png" /><Relationship Type="http://schemas.openxmlformats.org/officeDocument/2006/relationships/hyperlink" Id="rId30" Target="int_dfm_basics.htm#Data_feed_service_user" TargetMode="External" /><Relationship Type="http://schemas.openxmlformats.org/officeDocument/2006/relationships/hyperlink" Id="rId41"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0" Target="int_dfm_basics.htm#Data_feed_service_user" TargetMode="External" /><Relationship Type="http://schemas.openxmlformats.org/officeDocument/2006/relationships/hyperlink" Id="rId41"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2025-03-06T16:31:13Z</dcterms:created>
  <dcterms:modified xsi:type="dcterms:W3CDTF">2025-03-06T16:31:13Z</dcterms:modified>
</cp:coreProperties>
</file>

<file path=docProps/custom.xml><?xml version="1.0" encoding="utf-8"?>
<Properties xmlns="http://schemas.openxmlformats.org/officeDocument/2006/custom-properties" xmlns:vt="http://schemas.openxmlformats.org/officeDocument/2006/docPropsVTypes"/>
</file>