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e20c11ddc46c592300df692034271d276597dd3"/>
    <w:p>
      <w:pPr>
        <w:pStyle w:val="Heading1"/>
      </w:pPr>
      <w:bookmarkStart w:id="20" w:name="aanchor230"/>
      <w:bookmarkEnd w:id="20"/>
      <w:r>
        <w:t xml:space="preserve"> </w:t>
      </w:r>
      <w:r>
        <w:t xml:space="preserve">Adicionando um feed de dados Somente transporte de Archer para Archer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Somente transporte de Archer para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f44f3914168d492a0f22708c17846033926e2">
        <w:r>
          <w:rPr>
            <w:rStyle w:val="Hyperlink"/>
          </w:rPr>
          <w:t xml:space="preserve">Exemplo: Feed de dados de Archer para Archer - Pesquisa XML apenas para transporte</w:t>
        </w:r>
      </w:hyperlink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Xe87caee0b9ce24517d66f858473d6e88c2e85bd">
        <w:r>
          <w:rPr>
            <w:rStyle w:val="Hyperlink"/>
          </w:rPr>
          <w:t xml:space="preserve">Tarefa 2: Configurar uma pesquisa de relatório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1" w:name="Xa3f44f3914168d492a0f22708c17846033926e2"/>
    <w:p>
      <w:pPr>
        <w:pStyle w:val="Heading2"/>
      </w:pPr>
      <w:r>
        <w:t xml:space="preserve">Exemplo: Feed de dados de Archer para Archer - Pesquisa XML apenas para transporte</w:t>
      </w:r>
    </w:p>
    <w:p>
      <w:pPr>
        <w:pStyle w:val="TableCaption"/>
      </w:pPr>
      <w:r>
        <w:t xml:space="preserve">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Guia</w:t>
            </w:r>
          </w:p>
        </w:tc>
        <w:tc>
          <w:tcPr/>
          <w:p>
            <w:pPr>
              <w:pStyle w:val="BodyText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  <w:tc>
          <w:tcPr/>
          <w:p>
            <w:pPr>
              <w:pStyle w:val="BodyTex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Informações gerais</w:t>
            </w:r>
          </w:p>
        </w:tc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exclusivo do feed de dados, por exemplo, Feed de dados APENAS de transferência da AWS.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padrão</w:t>
            </w:r>
          </w:p>
        </w:tc>
        <w:tc>
          <w:tcPr/>
          <w:p>
            <w:pPr>
              <w:pStyle w:val="BodyText"/>
            </w:pPr>
            <w:r>
              <w:t xml:space="preserve">Por padrão, o Alias é igual a Nome, por exemplo, AWS_TO_Data Feed. O Nome de alias designa o nome da pasta desse feed de dados no diretório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 feed de dados deve ter um status Ativo para ser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Informações do feed</w:t>
            </w:r>
          </w:p>
        </w:tc>
        <w:tc>
          <w:tcPr/>
          <w:p>
            <w:pPr>
              <w:pStyle w:val="BodyText"/>
            </w:pPr>
            <w:r>
              <w:t xml:space="preserve">Nome da conta de serviço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de usuário por meio do qual o feed de dados será executado, por exemplo, AWS_Transport_Only.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Tipo de feed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Caminho de destino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 o local do arquivo que está sendo transferido, por exemplo, AWS.xml.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 de origem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Método de transferência</w:t>
            </w:r>
          </w:p>
        </w:tc>
        <w:tc>
          <w:tcPr/>
          <w:p>
            <w:pPr>
              <w:pStyle w:val="BodyText"/>
            </w:pPr>
            <w:r>
              <w:t xml:space="preserve">Archer Web Services Transporter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Propriedades de log-on</w:t>
            </w:r>
          </w:p>
        </w:tc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[http://yoursiteURL/ws/search.asmx]</w:t>
            </w:r>
          </w:p>
        </w:tc>
        <w:tc>
          <w:tcPr/>
          <w:p>
            <w:pPr>
              <w:pStyle w:val="BodyText"/>
            </w:pPr>
            <w:r>
              <w:t xml:space="preserve">Por exemplo, http://staging.local:8000/ws/search.asmx</w:t>
            </w:r>
          </w:p>
          <w:p>
            <w:pPr>
              <w:pStyle w:val="BodyText"/>
            </w:pPr>
            <w:r>
              <w:t xml:space="preserve">Substitua a URL do seu site pela URL real para a instância do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Credenciais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selecione a opção para a instância atual</w:t>
            </w:r>
          </w:p>
        </w:tc>
        <w:tc>
          <w:tcPr/>
          <w:p>
            <w:pPr>
              <w:pStyle w:val="BodyText"/>
            </w:pPr>
            <w:r>
              <w:t xml:space="preserve">Usuário de conta anônima ou de serviço: Selecione se a instância atual está configurada para autenticação anônima ou quando a Conta de serviço que executa o serviço Mecanismo de trabalho pode acessar o IIS.</w:t>
            </w:r>
          </w:p>
          <w:p>
            <w:pPr>
              <w:pStyle w:val="BodyText"/>
            </w:pPr>
            <w:r>
              <w:t xml:space="preserve">Específico: Indique se a instância atual está configurada para autenticação do Windows. Você deverá fornecer: Nome de usuário e Senha para autenticação do Windows. O Domínio é opcional.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Configuração de transferência</w:t>
            </w:r>
          </w:p>
        </w:tc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Pesquisar XML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Conexão SSL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Selecione esta opção para usar uma conexão segura.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usuário que tem acesso à API de Web Services do Archer e ao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A senha da instância no qual o feed de dados será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Instância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Por exemplo, South Beach.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Registros por arquivo</w:t>
            </w:r>
          </w:p>
        </w:tc>
        <w:tc>
          <w:tcPr/>
          <w:p>
            <w:pPr>
              <w:pStyle w:val="BodyText"/>
            </w:pPr>
            <w:r>
              <w:t xml:space="preserve">10,000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GUID do aplicativo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sistema definido</w:t>
            </w:r>
          </w:p>
        </w:tc>
        <w:tc>
          <w:tcPr/>
          <w:p>
            <w:pPr>
              <w:pStyle w:val="BodyText"/>
            </w:pPr>
            <w:r>
              <w:t xml:space="preserve">O aplicativo do qual o feed de dados recupera conteúdo, por exemplo, C6A312AC-F4F1-4F33-BCFD-CE30232400C5.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String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Por exemplo:</w:t>
            </w:r>
          </w:p>
          <w:p>
            <w:pPr>
              <w:pStyle w:val="BodyText"/>
            </w:pPr>
            <w:r>
              <w:t xml:space="preserve">&lt;Search&gt;&lt;ReturnDomain value="1"/&gt;&lt;ShowFieldName value="1"/&gt;&lt;Display&gt;&lt;Field id="35097"/&gt;&lt;Field id="35096"/&gt;&lt;Field id="35047"/&gt;&lt;Field id="35061"/&gt;&lt;Field id="35057"/&gt;&lt;Field id="35046"/&gt;&lt;Field id="35081"/&gt;&lt;Field id="35094"/&gt;&lt;Field id="34977"/&gt;&lt;Field id="34985"/&gt;&lt;Field id="34998"/&gt;&lt;Field id="34997"/&gt;&lt;Field id="34989"/&gt;&lt;Field id="34988"/&gt;&lt;Field id="34987"/&gt;&lt;Field id="34986"/&gt;&lt;Field id="34984"/&gt;&lt;Field id="34981"/&gt;&lt;Field id="34996"/&gt;&lt;Field id="34995"/&gt;&lt;Field id="34994"/&gt;&lt;Field id="34993"/&gt;&lt;Field id="34992"/&gt;&lt;Field id="34991"/&gt;&lt;Field id="34990"/&gt;&lt;Field id="34980"/&gt;&lt;Field id="35009"/&gt;&lt;Field id="35031"/&gt;&lt;Field id="35029"/&gt;&lt;Field id="35026"/&gt;&lt;Field id="35028"/&gt;&lt;Field id="35024"/&gt;&lt;Field id="35027"/&gt;&lt;Field id="35025"/&gt;&lt;Field id="35051"/&gt;&lt;Field id="35037"/&gt;&lt;Field id="34979"/&gt;&lt;Field id="35032"/&gt;&lt;Field id="34978"/&gt;&lt;Field id="35039"/&gt;&lt;Field id="35022"/&gt;&lt;Field id="35021"/&gt;&lt;Field id="35038"/&gt;&lt;Field id="35020"/&gt;&lt;Field id="35042"/&gt;&lt;Field id="35007"/&gt;&lt;Field id="35045"/&gt;&lt;Field id="35044"/&gt;&lt;Field id="35043"/&gt;&lt;Field id="35002"/&gt;&lt;Field id="34999"/&gt;&lt;Field id="35104"/&gt;&lt;Field id="35107"/&gt;&lt;Field id="35108"/&gt;&lt;Field id="35105"/&gt;&lt;Field id="35106"/&gt;&lt;Field id="35109"/&gt;&lt;Field id="35110"/&gt;&lt;Field id="35115"/&gt;&lt;Field id="35117"/&gt;&lt;Field id="35112"/&gt;&lt;Field id="35113"/&gt;&lt;Field id="35111"/&gt;&lt;Field id="35065"/&gt;&lt;Field id="35116"/&gt;&lt;Field id="35114"/&gt;&lt;/Display&gt;&lt;/Search&gt;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Proxy</w:t>
            </w:r>
          </w:p>
        </w:tc>
        <w:tc>
          <w:tcPr/>
          <w:p>
            <w:pPr>
              <w:pStyle w:val="BodyText"/>
            </w:pPr>
            <w:r>
              <w:t xml:space="preserve">Opção de proxy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Selecione a opção aplicável se estiver usando um servidor proxy para executar 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a configuração</w:t>
            </w:r>
          </w:p>
        </w:tc>
        <w:tc>
          <w:tcPr/>
          <w:p>
            <w:pPr>
              <w:pStyle w:val="BodyText"/>
            </w:pPr>
            <w:r>
              <w:t xml:space="preserve">Agendamento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Iniciar</w:t>
            </w:r>
          </w:p>
        </w:tc>
        <w:tc>
          <w:tcPr/>
          <w:p>
            <w:pPr>
              <w:pStyle w:val="BodyText"/>
            </w:pPr>
            <w:r>
              <w:t xml:space="preserve">Clique em Executar agora para executar o feed de dados.</w:t>
            </w:r>
          </w:p>
        </w:tc>
      </w:tr>
    </w:tbl>
    <w:bookmarkEnd w:id="21"/>
    <w:bookmarkStart w:id="23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2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3"/>
    <w:bookmarkStart w:id="25" w:name="Tarefa2Configurarumapesquisaderelatório"/>
    <w:p>
      <w:pPr>
        <w:pStyle w:val="Heading2"/>
      </w:pPr>
      <w:r>
        <w:t xml:space="preserve">Tarefa 2: Configurar uma pesquisa de relatório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na instância do Archer. Você pode especificar se a instância do Archer usa autenticação anônima ou Autenticação do Windows.</w:t>
      </w:r>
    </w:p>
    <w:p>
      <w:pPr>
        <w:numPr>
          <w:ilvl w:val="0"/>
          <w:numId w:val="1007"/>
        </w:numPr>
      </w:pPr>
      <w:r>
        <w:t xml:space="preserve">Na seção Configuração de Transporte, selecione um Tipo de Pesquisa e execute um dos seguintes procedimentos:</w:t>
      </w:r>
    </w:p>
    <w:p>
      <w:pPr>
        <w:numPr>
          <w:ilvl w:val="1"/>
          <w:numId w:val="1008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numPr>
          <w:ilvl w:val="1"/>
          <w:numId w:val="1008"/>
        </w:numPr>
      </w:pPr>
      <w:r>
        <w:t xml:space="preserve">Selecione Usar Autenticação do Windows. O logon único deve ser configurado na instância de origem para usar esta opção.</w:t>
      </w:r>
    </w:p>
    <w:p>
      <w:pPr>
        <w:numPr>
          <w:ilvl w:val="0"/>
          <w:numId w:val="1007"/>
        </w:numPr>
      </w:pPr>
      <w:r>
        <w:t xml:space="preserve">Se você selecionou ID do relatório de estatística ou ID do relatório como o Tipo de pesquisa, digite o GUID ou ID do relatório que contém os dados de origem.</w:t>
      </w:r>
    </w:p>
    <w:p>
      <w:pPr>
        <w:numPr>
          <w:ilvl w:val="0"/>
          <w:numId w:val="1007"/>
        </w:numPr>
      </w:pPr>
      <w:r>
        <w:t xml:space="preserve">Digite os nomes de domínio e instância a serem pesquisados.</w:t>
      </w:r>
    </w:p>
    <w:p>
      <w:pPr>
        <w:numPr>
          <w:ilvl w:val="0"/>
          <w:numId w:val="1007"/>
        </w:numPr>
      </w:pPr>
      <w:r>
        <w:t xml:space="preserve">Se você selecionou Pesquisar XML como o Tipo de pesquisa, digite as seguintes informações:</w:t>
      </w:r>
    </w:p>
    <w:p>
      <w:pPr>
        <w:numPr>
          <w:ilvl w:val="1"/>
          <w:numId w:val="1009"/>
        </w:numPr>
      </w:pPr>
      <w:r>
        <w:t xml:space="preserve">Registros por arquivo: O número de arquivos recuperados da chamada API.</w:t>
      </w:r>
    </w:p>
    <w:p>
      <w:pPr>
        <w:numPr>
          <w:ilvl w:val="1"/>
          <w:numId w:val="1009"/>
        </w:numPr>
      </w:pPr>
      <w:r>
        <w:t xml:space="preserve">GUID do aplicativo: o aplicativo que contém os dados de origem.</w:t>
      </w:r>
    </w:p>
    <w:p>
      <w:pPr>
        <w:numPr>
          <w:ilvl w:val="1"/>
          <w:numId w:val="1009"/>
        </w:numPr>
      </w:pPr>
      <w:r>
        <w:t xml:space="preserve">String de configuração: parâmetros passados para o método SearchRecords na API SOAP para executar uma pesquisa.</w:t>
      </w:r>
    </w:p>
    <w:p>
      <w:pPr>
        <w:numPr>
          <w:ilvl w:val="0"/>
          <w:numId w:val="1007"/>
        </w:numPr>
      </w:pPr>
      <w:r>
        <w:t xml:space="preserve">No campo Opção de proxy, selecione Usar proxy do sistema.</w:t>
      </w:r>
    </w:p>
    <w:p>
      <w:pPr>
        <w:numPr>
          <w:ilvl w:val="0"/>
          <w:numId w:val="1007"/>
        </w:numPr>
      </w:pPr>
      <w:r>
        <w:t xml:space="preserve">Nos campos aplicáveis, forneça o nome, a ID da porta e o domínio do servidor proxy e as credenciais do usuário para efetuar logon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3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4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4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4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2025-02-19T20:14:13Z</dcterms:created>
  <dcterms:modified xsi:type="dcterms:W3CDTF">2025-02-19T20:14:13Z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