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X6ef0bf25e26caa528f4a6bb17858795d762836f"/>
    <w:p>
      <w:pPr>
        <w:pStyle w:val="Heading1"/>
      </w:pPr>
      <w:bookmarkStart w:id="20" w:name="aanchor243"/>
      <w:bookmarkEnd w:id="20"/>
      <w:r>
        <w:t xml:space="preserve"> </w:t>
      </w:r>
      <w:r>
        <w:t xml:space="preserve">Adicionando feeds de dados padrão para consulta de banco de dados</w:t>
      </w:r>
    </w:p>
    <w:p>
      <w:pPr>
        <w:pStyle w:val="FirstParagraph"/>
      </w:pPr>
      <w:r>
        <w:t xml:space="preserve">Este recurso está disponível apenas para instalações locais do Archer.</w:t>
      </w:r>
    </w:p>
    <w:p>
      <w:pPr>
        <w:pStyle w:val="BodyText"/>
      </w:pPr>
      <w:r>
        <w:t xml:space="preserve">Conclua as seguintes tarefas para adicionar um feed de dados padrão para consulta de banco de dados.</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arquivoXMLdosdadosdeorigem">
        <w:r>
          <w:rPr>
            <w:rStyle w:val="Hyperlink"/>
          </w:rPr>
          <w:t xml:space="preserve">Tarefa 3: Defina o arquivo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pStyle w:val="FirstParagraph"/>
      </w:pPr>
      <w:r>
        <w:rPr>
          <w:b/>
          <w:bCs/>
        </w:rPr>
        <w:t xml:space="preserve">Importante:</w:t>
      </w:r>
      <w:r>
        <w:t xml:space="preserve"> </w:t>
      </w:r>
      <w:r>
        <w:t xml:space="preserve"> </w:t>
      </w:r>
      <w:r>
        <w:t xml:space="preserve">Para que o feed de dados seja executado com sucesso, o servidor responsável pela execução do feed de dados precisa ter o acesso à rede necessária para o banco de dados.</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do banco de dados, conclua as opções de configuração.</w:t>
      </w:r>
    </w:p>
    <w:p>
      <w:pPr>
        <w:numPr>
          <w:ilvl w:val="0"/>
          <w:numId w:val="1000"/>
        </w:numPr>
      </w:pPr>
      <w:r>
        <w:t xml:space="preserve">Preencha os campos Nome de usuário e Senha para especificar as credenciais de uma conta que consulta o banco de dados, apenas se String de conexão não incluir credenciais.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Provider</w:t>
            </w:r>
          </w:p>
        </w:tc>
        <w:tc>
          <w:tcPr/>
          <w:p>
            <w:pPr>
              <w:pStyle w:val="BodyText"/>
            </w:pPr>
            <w:r>
              <w:t xml:space="preserve">Especifica o provedor de dados com base no tipo de string de conexão utilizado.</w:t>
            </w:r>
          </w:p>
          <w:p>
            <w:pPr>
              <w:pStyle w:val="BodyText"/>
            </w:pPr>
            <w:r>
              <w:t xml:space="preserve">Se o Oracle dotConnect for o provedor de dados, você deverá instalar os drivers para o Oracle porque esses drivers não estão incluídos na</w:t>
            </w:r>
            <w:r>
              <w:t xml:space="preserve"> </w:t>
            </w:r>
            <w:r>
              <w:t xml:space="preserve">Archer</w:t>
            </w:r>
            <w:r>
              <w:t xml:space="preserve"> </w:t>
            </w:r>
            <w:r>
              <w:t xml:space="preserve">instalação. Para determinar a string de conexão para este provedor de dados, vá para a seguinte URL:</w:t>
            </w:r>
            <w:r>
              <w:br/>
            </w:r>
            <w:hyperlink r:id="rId23">
              <w:r>
                <w:rPr>
                  <w:rStyle w:val="Hyperlink"/>
                </w:rPr>
                <w:t xml:space="preserve">http://www.devart.com/dotconnect/oracle/docs/Devart.Data.Oracle~</w:t>
              </w:r>
              <w:r>
                <w:br/>
              </w:r>
              <w:r>
                <w:rPr>
                  <w:rStyle w:val="Hyperlink"/>
                </w:rPr>
                <w:t xml:space="preserve">Devart.Data.Oracle.OracleConnection~ConnectionString.html</w:t>
              </w:r>
            </w:hyperlink>
            <w:r>
              <w:t xml:space="preserve">.</w:t>
            </w:r>
          </w:p>
        </w:tc>
      </w:tr>
      <w:tr>
        <w:tc>
          <w:tcPr/>
          <w:p>
            <w:pPr>
              <w:pStyle w:val="BodyText"/>
            </w:pPr>
            <w:r>
              <w:t xml:space="preserve">Timeout de conexão</w:t>
            </w:r>
          </w:p>
        </w:tc>
        <w:tc>
          <w:tcPr/>
          <w:p>
            <w:pPr>
              <w:pStyle w:val="BodyText"/>
            </w:pPr>
            <w:r>
              <w:t xml:space="preserve">Especifica o parâmetro de timeout em segundos para forçar a falha do feed em consultas de longa execução.</w:t>
            </w:r>
          </w:p>
        </w:tc>
      </w:tr>
      <w:tr>
        <w:tc>
          <w:tcPr/>
          <w:p>
            <w:pPr>
              <w:pStyle w:val="BodyText"/>
            </w:pPr>
            <w:r>
              <w:t xml:space="preserve">String de conexão</w:t>
            </w:r>
          </w:p>
        </w:tc>
        <w:tc>
          <w:tcPr/>
          <w:p>
            <w:pPr>
              <w:pStyle w:val="BodyText"/>
            </w:pPr>
            <w:r>
              <w:t xml:space="preserve">Permite que o feed de dados localize e acesse o banco de dados e recupere os dados de origem especificados.</w:t>
            </w:r>
          </w:p>
        </w:tc>
      </w:tr>
      <w:tr>
        <w:tc>
          <w:tcPr/>
          <w:p>
            <w:pPr>
              <w:pStyle w:val="BodyText"/>
            </w:pPr>
            <w:r>
              <w:t xml:space="preserve">Consultar</w:t>
            </w:r>
          </w:p>
        </w:tc>
        <w:tc>
          <w:tcPr/>
          <w:p>
            <w:pPr>
              <w:pStyle w:val="BodyText"/>
            </w:pPr>
            <w:r>
              <w:t xml:space="preserve">Especifica a consulta executada no banco de dados. Esse campo não pode ter mais de 4.000 caracteres.</w:t>
            </w:r>
          </w:p>
          <w:p>
            <w:pPr>
              <w:pStyle w:val="BodyText"/>
            </w:pPr>
            <w:r>
              <w:t xml:space="preserve">Você também pode executar um procedimento armazenado, como o exemplo na figura a seguir, informando-o no campo Consulta.</w:t>
            </w:r>
          </w:p>
          <w:p>
            <w:pPr>
              <w:pStyle w:val="BodyText"/>
            </w:pPr>
            <w:r>
              <w:t xml:space="preserve">Ou lógica do operador</w:t>
            </w:r>
          </w:p>
          <w:p>
            <w:pPr>
              <w:pStyle w:val="BodyText"/>
            </w:pPr>
            <w:r>
              <w:t xml:space="preserve">Entre em contato com o administrador do banco de dados antes de executar qualquer consulta dos dados corporativos da sua empresa. Se você configurar a string de consulta de forma incorreta, poderá alterar os dados armazenados no banco de dados.</w:t>
            </w:r>
            <w:r>
              <w:br/>
            </w:r>
            <w:r>
              <w:t xml:space="preserve">Sempre verifique seus resultados executando manualmente antes a consulta, diretamente no banco de dados.</w:t>
            </w:r>
          </w:p>
        </w:tc>
      </w:tr>
    </w:tbl>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09"/>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09"/>
              </w:numPr>
            </w:pPr>
            <w:r>
              <w:t xml:space="preserve">DataFileDirectoryName. Update the filename with the directory name, including the drive, of your file.</w:t>
            </w:r>
          </w:p>
          <w:p>
            <w:pPr>
              <w:numPr>
                <w:ilvl w:val="0"/>
                <w:numId w:val="1009"/>
              </w:numPr>
            </w:pPr>
            <w:r>
              <w:t xml:space="preserve">DataFileName. Insert the original filename, excluding the directory name and extension.</w:t>
            </w:r>
          </w:p>
          <w:p>
            <w:pPr>
              <w:numPr>
                <w:ilvl w:val="0"/>
                <w:numId w:val="1009"/>
              </w:numPr>
            </w:pPr>
            <w:r>
              <w:t xml:space="preserve">DataFileExtension. Insert the file extension, such as .csv, in the new filename.</w:t>
            </w:r>
          </w:p>
          <w:p>
            <w:pPr>
              <w:numPr>
                <w:ilvl w:val="0"/>
                <w:numId w:val="1009"/>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0"/>
              </w:numPr>
            </w:pPr>
            <w:r>
              <w:t xml:space="preserve">Input Tokens: {DataFileDirectoryName}\success\{DataFileName}_{Now(MM.dd.yyyy)}.{DataFileExtension}</w:t>
            </w:r>
          </w:p>
          <w:p>
            <w:pPr>
              <w:pStyle w:val="Compact"/>
              <w:numPr>
                <w:ilvl w:val="0"/>
                <w:numId w:val="1010"/>
              </w:numPr>
            </w:pPr>
            <w:r>
              <w:t xml:space="preserve">Output: C:\DataFeed\Source\ESL\processed\success\ThreatData_01.31.2008.csv</w:t>
            </w:r>
          </w:p>
          <w:p>
            <w:pPr>
              <w:pStyle w:val="FirstParagraph"/>
            </w:pPr>
            <w:r>
              <w:t xml:space="preserve">Example 2</w:t>
            </w:r>
          </w:p>
          <w:p>
            <w:pPr>
              <w:pStyle w:val="Compact"/>
              <w:numPr>
                <w:ilvl w:val="0"/>
                <w:numId w:val="1011"/>
              </w:numPr>
            </w:pPr>
            <w:r>
              <w:t xml:space="preserve">Input Tokens: \\DFSRepository\{Now(yyyy)}\{Now(MM)}\{DataFileName}_success.{DataFileExtension}</w:t>
            </w:r>
          </w:p>
          <w:p>
            <w:pPr>
              <w:pStyle w:val="Compact"/>
              <w:numPr>
                <w:ilvl w:val="0"/>
                <w:numId w:val="1011"/>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2"/>
        </w:numPr>
      </w:pPr>
      <w:r>
        <w:t xml:space="preserve">Para continuar configurando o feed de dados, vá para a próxima tarefa.</w:t>
      </w:r>
    </w:p>
    <w:p>
      <w:pPr>
        <w:pStyle w:val="Compact"/>
        <w:numPr>
          <w:ilvl w:val="1"/>
          <w:numId w:val="1012"/>
        </w:numPr>
      </w:pPr>
      <w:r>
        <w:t xml:space="preserve">Para terminar de configurar o feed mais tarde, clique em Salvar ou Salvar e fechar.</w:t>
      </w:r>
    </w:p>
    <w:bookmarkEnd w:id="25"/>
    <w:bookmarkStart w:id="26" w:name="Tarefa3DefinaoarquivoXMLdosdadosdeorigem"/>
    <w:p>
      <w:pPr>
        <w:pStyle w:val="Heading2"/>
      </w:pPr>
      <w:r>
        <w:t xml:space="preserve">Tarefa 3: Defina o arquivo XML dos dados de origem</w:t>
      </w:r>
      <w:r>
        <w:br/>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dos resultados da consulta.</w:t>
      </w:r>
    </w:p>
    <w:p>
      <w:pPr>
        <w:pStyle w:val="Compact"/>
        <w:numPr>
          <w:ilvl w:val="0"/>
          <w:numId w:val="1013"/>
        </w:numPr>
      </w:pPr>
      <w:r>
        <w:t xml:space="preserve">Vá para a guia Análise de origem do feed de dados.</w:t>
      </w:r>
    </w:p>
    <w:p>
      <w:pPr>
        <w:numPr>
          <w:ilvl w:val="0"/>
          <w:numId w:val="1013"/>
        </w:numPr>
      </w:pPr>
      <w:r>
        <w:t xml:space="preserve">No campo Formato de origem, selecione XML.</w:t>
      </w:r>
    </w:p>
    <w:p>
      <w:pPr>
        <w:pStyle w:val="Compact"/>
        <w:numPr>
          <w:ilvl w:val="0"/>
          <w:numId w:val="1013"/>
        </w:numPr>
      </w:pPr>
      <w:r>
        <w:t xml:space="preserve">Na seção Definição de arquivo, se você deseja modificar a estrutura de seus dados de origem:</w:t>
      </w:r>
    </w:p>
    <w:p>
      <w:pPr>
        <w:pStyle w:val="Compact"/>
        <w:numPr>
          <w:ilvl w:val="1"/>
          <w:numId w:val="1014"/>
        </w:numPr>
      </w:pPr>
      <w:r>
        <w:t xml:space="preserve">Insira o XSLT que deseja usar para transformar seus dados de origem.</w:t>
      </w:r>
    </w:p>
    <w:p>
      <w:pPr>
        <w:pStyle w:val="Compact"/>
        <w:numPr>
          <w:ilvl w:val="1"/>
          <w:numId w:val="1015"/>
        </w:numPr>
      </w:pPr>
      <w:r>
        <w:t xml:space="preserve">Clique em Carregar XSLT para usar um arquivo previamente preparado ou seu próprio arquivo personalizado.</w:t>
      </w:r>
    </w:p>
    <w:p>
      <w:pPr>
        <w:numPr>
          <w:ilvl w:val="0"/>
          <w:numId w:val="1013"/>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6"/>
    <w:bookmarkStart w:id="30"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7"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27"/>
    <w:bookmarkStart w:id="29"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8">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9"/>
    <w:bookmarkEnd w:id="30"/>
    <w:bookmarkStart w:id="31"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1"/>
        </w:numPr>
      </w:pPr>
      <w:r>
        <w:t xml:space="preserve">Feeds de dados de Archer para Archer: Não use essa opção. É recomendável filtrar os dados de relatório.</w:t>
      </w:r>
    </w:p>
    <w:p>
      <w:pPr>
        <w:numPr>
          <w:ilvl w:val="0"/>
          <w:numId w:val="1021"/>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1"/>
        </w:numPr>
      </w:pPr>
      <w:r>
        <w:t xml:space="preserve">Feeds de dados de monitoramento de e-mails: é recomendável filtrar o e-mail definindo filtros na guia Definição de origem.</w:t>
      </w:r>
    </w:p>
    <w:p>
      <w:pPr>
        <w:numPr>
          <w:ilvl w:val="0"/>
          <w:numId w:val="1022"/>
        </w:numPr>
      </w:pPr>
      <w:r>
        <w:t xml:space="preserve">Vá para a guia Definição de origem &gt; guia Filtro de origem</w:t>
      </w:r>
    </w:p>
    <w:p>
      <w:pPr>
        <w:numPr>
          <w:ilvl w:val="0"/>
          <w:numId w:val="1022"/>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3"/>
        </w:numPr>
      </w:pPr>
      <w:r>
        <w:t xml:space="preserve">Se o campo A tiver um campo filho B, que tem um campo filho C, uma vez que o campo B tem um campo filho C, você não pode filtrar pelo campo A.</w:t>
      </w:r>
    </w:p>
    <w:p>
      <w:pPr>
        <w:numPr>
          <w:ilvl w:val="1"/>
          <w:numId w:val="1023"/>
        </w:numPr>
      </w:pPr>
      <w:r>
        <w:t xml:space="preserve">Se o campo A tiver um campo filho B, mas o campo B não tiver nenhum campo filho, você poderá filtrar pelo campo A.</w:t>
      </w:r>
    </w:p>
    <w:p>
      <w:pPr>
        <w:pStyle w:val="Compact"/>
        <w:numPr>
          <w:ilvl w:val="0"/>
          <w:numId w:val="1022"/>
        </w:numPr>
      </w:pPr>
      <w:r>
        <w:t xml:space="preserve">Na lista Nome do campo, selecione o nome do campo da fonte de dados à qual deseja aplicar um filtro.</w:t>
      </w:r>
    </w:p>
    <w:p>
      <w:pPr>
        <w:pStyle w:val="Compact"/>
        <w:numPr>
          <w:ilvl w:val="0"/>
          <w:numId w:val="1022"/>
        </w:numPr>
      </w:pPr>
      <w:r>
        <w:t xml:space="preserve">Na lista Operador, selecione um operador para definir qual tipo de filtro deseja aplicar aos dados de origem.</w:t>
      </w:r>
    </w:p>
    <w:p>
      <w:pPr>
        <w:pStyle w:val="Compact"/>
        <w:numPr>
          <w:ilvl w:val="0"/>
          <w:numId w:val="1022"/>
        </w:numPr>
      </w:pPr>
      <w:r>
        <w:t xml:space="preserve">Na coluna Valores, informe um valor baseado na seleção feita na coluna Operador.</w:t>
      </w:r>
    </w:p>
    <w:p>
      <w:pPr>
        <w:pStyle w:val="Compact"/>
        <w:numPr>
          <w:ilvl w:val="0"/>
          <w:numId w:val="1022"/>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2"/>
        </w:numPr>
      </w:pPr>
      <w:r>
        <w:t xml:space="preserve">Execute uma das seguintes tarefas opcionais:</w:t>
      </w:r>
    </w:p>
    <w:p>
      <w:pPr>
        <w:pStyle w:val="Compact"/>
        <w:numPr>
          <w:ilvl w:val="1"/>
          <w:numId w:val="1024"/>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24"/>
        </w:numPr>
      </w:pPr>
      <w:r>
        <w:t xml:space="preserve">Para remover um filtro de dados, na coluna Ações do filtro que você deseja remover, clique em</w:t>
      </w:r>
      <w:r>
        <w:t xml:space="preserve"> </w:t>
      </w:r>
      <w:r>
        <w:t xml:space="preserve">Remover</w:t>
      </w:r>
      <w:r>
        <w:t xml:space="preserve">.</w:t>
      </w:r>
    </w:p>
    <w:p>
      <w:pPr>
        <w:numPr>
          <w:ilvl w:val="0"/>
          <w:numId w:val="1022"/>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31"/>
    <w:bookmarkStart w:id="32" w:name="Xec703caeb69b5ae2b49d83d8a9467610a802b75"/>
    <w:p>
      <w:pPr>
        <w:pStyle w:val="Heading2"/>
      </w:pPr>
      <w:r>
        <w:t xml:space="preserve">Tarefa 6: Associar os campos de origem aos campos de destino</w:t>
      </w:r>
    </w:p>
    <w:p>
      <w:pPr>
        <w:numPr>
          <w:ilvl w:val="0"/>
          <w:numId w:val="1026"/>
        </w:numPr>
      </w:pPr>
      <w:r>
        <w:t xml:space="preserve">Vá para a guia Mapa de dados &gt; guia Mapa de campo.</w:t>
      </w:r>
    </w:p>
    <w:p>
      <w:pPr>
        <w:pStyle w:val="Compact"/>
        <w:numPr>
          <w:ilvl w:val="0"/>
          <w:numId w:val="1026"/>
        </w:numPr>
      </w:pPr>
      <w:r>
        <w:t xml:space="preserve">Associe o campo de origem ao aplicativo ou ao questionário aplicável. Execute um destes procedimentos:</w:t>
      </w:r>
    </w:p>
    <w:p>
      <w:pPr>
        <w:numPr>
          <w:ilvl w:val="1"/>
          <w:numId w:val="1027"/>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27"/>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6"/>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26"/>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6"/>
        </w:numPr>
      </w:pPr>
      <w:r>
        <w:t xml:space="preserve">(Opcional) Realize uma ou mais das seguintes ações:</w:t>
      </w:r>
    </w:p>
    <w:p>
      <w:pPr>
        <w:pStyle w:val="Compact"/>
        <w:numPr>
          <w:ilvl w:val="1"/>
          <w:numId w:val="1028"/>
        </w:numPr>
      </w:pPr>
      <w:r>
        <w:t xml:space="preserve">Para excluir um mapeamento para um único campo, na coluna Ações, clique em</w:t>
      </w:r>
      <w:r>
        <w:t xml:space="preserve"> </w:t>
      </w:r>
      <w:r>
        <w:t xml:space="preserve">Excluir</w:t>
      </w:r>
      <w:r>
        <w:t xml:space="preserve">.</w:t>
      </w:r>
    </w:p>
    <w:p>
      <w:pPr>
        <w:pStyle w:val="Compact"/>
        <w:numPr>
          <w:ilvl w:val="1"/>
          <w:numId w:val="1028"/>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6"/>
        </w:numPr>
      </w:pPr>
      <w:r>
        <w:t xml:space="preserve">Execute um destes procedimentos:</w:t>
      </w:r>
    </w:p>
    <w:p>
      <w:pPr>
        <w:pStyle w:val="Compact"/>
        <w:numPr>
          <w:ilvl w:val="1"/>
          <w:numId w:val="1029"/>
        </w:numPr>
      </w:pPr>
      <w:r>
        <w:t xml:space="preserve">Para continuar configurando o feed de dados, vá para a próxima tarefa.</w:t>
      </w:r>
    </w:p>
    <w:p>
      <w:pPr>
        <w:pStyle w:val="Compact"/>
        <w:numPr>
          <w:ilvl w:val="1"/>
          <w:numId w:val="1029"/>
        </w:numPr>
      </w:pPr>
      <w:r>
        <w:t xml:space="preserve">Para terminar de configurar o feed mais tarde, clique em Salvar ou Salvar e fechar.</w:t>
      </w:r>
    </w:p>
    <w:bookmarkEnd w:id="32"/>
    <w:bookmarkStart w:id="33"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0"/>
        </w:numPr>
      </w:pPr>
      <w:r>
        <w:t xml:space="preserve">Vá para a guia Mapa de dados &gt; guia Definição de campo de chave.</w:t>
      </w:r>
    </w:p>
    <w:p>
      <w:pPr>
        <w:numPr>
          <w:ilvl w:val="0"/>
          <w:numId w:val="1030"/>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0"/>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0"/>
        </w:numPr>
      </w:pPr>
      <w:r>
        <w:t xml:space="preserve">No campo Nome do campo, selecione um campo do aplicativo ou questionário de destino que identifique exclusivamente o registro.</w:t>
      </w:r>
    </w:p>
    <w:p>
      <w:pPr>
        <w:pStyle w:val="Compact"/>
        <w:numPr>
          <w:ilvl w:val="0"/>
          <w:numId w:val="1030"/>
        </w:numPr>
      </w:pPr>
      <w:r>
        <w:t xml:space="preserve">(Opcional) Atribua teclas de combinação para o registro. Faça o seguinte:</w:t>
      </w:r>
    </w:p>
    <w:p>
      <w:pPr>
        <w:pStyle w:val="Compact"/>
        <w:numPr>
          <w:ilvl w:val="1"/>
          <w:numId w:val="1031"/>
        </w:numPr>
      </w:pPr>
      <w:r>
        <w:t xml:space="preserve">Na coluna Ações, clique em</w:t>
      </w:r>
      <w:r>
        <w:t xml:space="preserve"> </w:t>
      </w:r>
      <w:r>
        <w:t xml:space="preserve">Adicionar</w:t>
      </w:r>
      <w:r>
        <w:t xml:space="preserve">.</w:t>
      </w:r>
    </w:p>
    <w:p>
      <w:pPr>
        <w:pStyle w:val="Compact"/>
        <w:numPr>
          <w:ilvl w:val="1"/>
          <w:numId w:val="1031"/>
        </w:numPr>
      </w:pPr>
      <w:r>
        <w:t xml:space="preserve">No campo Nome do campo, selecione um campo.</w:t>
      </w:r>
    </w:p>
    <w:p>
      <w:pPr>
        <w:numPr>
          <w:ilvl w:val="0"/>
          <w:numId w:val="1030"/>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0"/>
        </w:numPr>
      </w:pPr>
      <w:r>
        <w:t xml:space="preserve">Na coluna Operador, selecione a opção aplicável para os critérios de correspondência da chave simples.</w:t>
      </w:r>
    </w:p>
    <w:p>
      <w:pPr>
        <w:numPr>
          <w:ilvl w:val="0"/>
          <w:numId w:val="1030"/>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3"/>
    <w:bookmarkStart w:id="34"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3"/>
        </w:numPr>
      </w:pPr>
      <w:r>
        <w:t xml:space="preserve">Vá para a guia Executar a configuração &gt; seção Agendamento.</w:t>
      </w:r>
    </w:p>
    <w:p>
      <w:pPr>
        <w:numPr>
          <w:ilvl w:val="0"/>
          <w:numId w:val="1033"/>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34"/>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34"/>
              </w:numPr>
            </w:pPr>
            <w:r>
              <w:t xml:space="preserve">A cada hora. Executa o feed de dados conforme o intervalo definido, por exemplo, a cada hora (1), em horas alternadas (2) etc.</w:t>
            </w:r>
          </w:p>
          <w:p>
            <w:pPr>
              <w:pStyle w:val="Compact"/>
              <w:numPr>
                <w:ilvl w:val="0"/>
                <w:numId w:val="1034"/>
              </w:numPr>
            </w:pPr>
            <w:r>
              <w:t xml:space="preserve">Diariamente. Executa o feed de dados conforme o intervalo definido, por exemplo, todos os dias (1), em dias alternados (2) etc.</w:t>
            </w:r>
          </w:p>
          <w:p>
            <w:pPr>
              <w:pStyle w:val="Compact"/>
              <w:numPr>
                <w:ilvl w:val="0"/>
                <w:numId w:val="1034"/>
              </w:numPr>
            </w:pPr>
            <w:r>
              <w:t xml:space="preserve">Semanalmente. Executa o feed de dados com base em um dia especificado da semana, por exemplo, quinzenalmente às segundas-feiras (2), a cada três segundas-feiras (3) etc.</w:t>
            </w:r>
          </w:p>
          <w:p>
            <w:pPr>
              <w:pStyle w:val="Compact"/>
              <w:numPr>
                <w:ilvl w:val="0"/>
                <w:numId w:val="1034"/>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3"/>
        </w:numPr>
      </w:pPr>
      <w:r>
        <w:t xml:space="preserve">Para salvar o feed de dados, clique em Salvar ou Salvar e fechar.</w:t>
      </w:r>
    </w:p>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4"/>
    <w:bookmarkStart w:id="35" w:name="Tarefa9Definirtokensdedados"/>
    <w:p>
      <w:pPr>
        <w:pStyle w:val="Heading2"/>
      </w:pPr>
      <w:r>
        <w:t xml:space="preserve">Tarefa 9: Definir tokens de dados</w:t>
      </w:r>
    </w:p>
    <w:p>
      <w:pPr>
        <w:pStyle w:val="Compact"/>
        <w:numPr>
          <w:ilvl w:val="0"/>
          <w:numId w:val="1036"/>
        </w:numPr>
      </w:pPr>
      <w:r>
        <w:t xml:space="preserve">Vá para a guia Executar a configuração &gt; seção Agendamento.</w:t>
      </w:r>
    </w:p>
    <w:p>
      <w:pPr>
        <w:pStyle w:val="Compact"/>
        <w:numPr>
          <w:ilvl w:val="0"/>
          <w:numId w:val="1036"/>
        </w:numPr>
      </w:pPr>
      <w:r>
        <w:t xml:space="preserve">(Opcional) Clique em</w:t>
      </w:r>
      <w:r>
        <w:t xml:space="preserve"> </w:t>
      </w:r>
      <w:r>
        <w:t xml:space="preserve">Adicionar</w:t>
      </w:r>
      <w:r>
        <w:t xml:space="preserve"> </w:t>
      </w:r>
      <w:r>
        <w:t xml:space="preserve">para adicionar um token adicional.</w:t>
      </w:r>
    </w:p>
    <w:p>
      <w:pPr>
        <w:pStyle w:val="Compact"/>
        <w:numPr>
          <w:ilvl w:val="0"/>
          <w:numId w:val="1036"/>
        </w:numPr>
      </w:pPr>
      <w:r>
        <w:t xml:space="preserve">No campo Valor do token que você deseja modificar, informe o valor atualizado.</w:t>
      </w:r>
    </w:p>
    <w:p>
      <w:pPr>
        <w:pStyle w:val="Compact"/>
        <w:numPr>
          <w:ilvl w:val="0"/>
          <w:numId w:val="1036"/>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36"/>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35"/>
    <w:bookmarkStart w:id="36"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8"/>
        </w:numPr>
      </w:pPr>
      <w:r>
        <w:t xml:space="preserve">Vá para a guia Executar a configuração &gt; seção Processamento de registro de destino.</w:t>
      </w:r>
    </w:p>
    <w:p>
      <w:pPr>
        <w:pStyle w:val="Compact"/>
        <w:numPr>
          <w:ilvl w:val="0"/>
          <w:numId w:val="1038"/>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8"/>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9"/>
              </w:numPr>
            </w:pPr>
            <w:r>
              <w:t xml:space="preserve">Nível 3 ou inferior em um aplicativo em níveis.</w:t>
            </w:r>
          </w:p>
          <w:p>
            <w:pPr>
              <w:pStyle w:val="Compact"/>
              <w:numPr>
                <w:ilvl w:val="0"/>
                <w:numId w:val="1039"/>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8"/>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36"/>
    <w:bookmarkStart w:id="37"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1"/>
        </w:numPr>
      </w:pPr>
      <w:r>
        <w:t xml:space="preserve">Vá para a guia Executar a configuração &gt; seção Pós-processamento.</w:t>
      </w:r>
    </w:p>
    <w:p>
      <w:pPr>
        <w:numPr>
          <w:ilvl w:val="0"/>
          <w:numId w:val="1041"/>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1"/>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2"/>
              </w:numPr>
            </w:pPr>
            <w:r>
              <w:t xml:space="preserve">Todos os status - Sucesso, aviso e falha</w:t>
            </w:r>
          </w:p>
          <w:p>
            <w:pPr>
              <w:numPr>
                <w:ilvl w:val="0"/>
                <w:numId w:val="1042"/>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1"/>
        </w:numPr>
      </w:pPr>
      <w:r>
        <w:t xml:space="preserve">Para salvar o feed de dados, clique em Salvar ou Salvar e fechar.</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devart.com/dotconnect/oracle/docs/Devart.Data.Oracle~Devart.Data.Oracle.OracleConnection~ConnectionString.html" TargetMode="External" /><Relationship Type="http://schemas.openxmlformats.org/officeDocument/2006/relationships/hyperlink" Id="rId21" Target="int_dfm_basics.htm#Data_feed_service_user" TargetMode="External" /><Relationship Type="http://schemas.openxmlformats.org/officeDocument/2006/relationships/hyperlink" Id="rId28"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3" Target="http://www.devart.com/dotconnect/oracle/docs/Devart.Data.Oracle~Devart.Data.Oracle.OracleConnection~ConnectionString.html" TargetMode="External" /><Relationship Type="http://schemas.openxmlformats.org/officeDocument/2006/relationships/hyperlink" Id="rId21" Target="int_dfm_basics.htm#Data_feed_service_user" TargetMode="External" /><Relationship Type="http://schemas.openxmlformats.org/officeDocument/2006/relationships/hyperlink" Id="rId28"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2025-02-19T20:14:18Z</dcterms:created>
  <dcterms:modified xsi:type="dcterms:W3CDTF">2025-02-19T20:14:18Z</dcterms:modified>
</cp:coreProperties>
</file>

<file path=docProps/custom.xml><?xml version="1.0" encoding="utf-8"?>
<Properties xmlns="http://schemas.openxmlformats.org/officeDocument/2006/custom-properties" xmlns:vt="http://schemas.openxmlformats.org/officeDocument/2006/docPropsVTypes"/>
</file>