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X24918a26280ffcdfd3c234b3dae262a3b9598e2"/>
    <w:p>
      <w:pPr>
        <w:pStyle w:val="Heading1"/>
      </w:pPr>
      <w:bookmarkStart w:id="20" w:name="aanchor174"/>
      <w:bookmarkEnd w:id="20"/>
      <w:r>
        <w:t xml:space="preserve"> </w:t>
      </w:r>
      <w:r>
        <w:t xml:space="preserve">Adicionando feeds de dados exclusivos de transporte para consulta do banco de dados</w:t>
      </w:r>
    </w:p>
    <w:p>
      <w:pPr>
        <w:pStyle w:val="FirstParagraph"/>
      </w:pPr>
      <w:r>
        <w:t xml:space="preserve">Este recurso está disponível apenas para instalações locais do Archer.</w:t>
      </w:r>
    </w:p>
    <w:p>
      <w:pPr>
        <w:pStyle w:val="BodyText"/>
      </w:pPr>
      <w:r>
        <w:t xml:space="preserve">Conclua as seguintes tarefas para adicionar um feed de dados exclusivo de transporte para consulta de banco de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200154ca4bcabf9be034a723b7e1d1d39b6f4">
        <w:r>
          <w:rPr>
            <w:rStyle w:val="Hyperlink"/>
          </w:rPr>
          <w:t xml:space="preserve">Tarefa 1: Adicionar um feed de dados de transporte</w:t>
        </w:r>
      </w:hyperlink>
    </w:p>
    <w:p>
      <w:pPr>
        <w:pStyle w:val="Compact"/>
        <w:numPr>
          <w:ilvl w:val="0"/>
          <w:numId w:val="1001"/>
        </w:numPr>
      </w:pPr>
      <w:hyperlink w:anchor="Tarefa2Definirom%C3%A9tododetransporte">
        <w:r>
          <w:rPr>
            <w:rStyle w:val="Hyperlink"/>
          </w:rPr>
          <w:t xml:space="preserve">Tarefa 2: Definir o método de transporte</w:t>
        </w:r>
      </w:hyperlink>
    </w:p>
    <w:p>
      <w:pPr>
        <w:pStyle w:val="Compact"/>
        <w:numPr>
          <w:ilvl w:val="1"/>
          <w:numId w:val="1002"/>
        </w:numPr>
      </w:pPr>
      <w:hyperlink w:anchor="Tokensdenomedearquivo">
        <w:r>
          <w:rPr>
            <w:rStyle w:val="Hyperlink"/>
          </w:rPr>
          <w:t xml:space="preserve">Tokens de nome de arquivo</w:t>
        </w:r>
      </w:hyperlink>
    </w:p>
    <w:p>
      <w:pPr>
        <w:pStyle w:val="Compact"/>
        <w:numPr>
          <w:ilvl w:val="0"/>
          <w:numId w:val="1001"/>
        </w:numPr>
      </w:pPr>
      <w:hyperlink w:anchor="Tarefa3Definiroagendamentodofeeddedados">
        <w:r>
          <w:rPr>
            <w:rStyle w:val="Hyperlink"/>
          </w:rPr>
          <w:t xml:space="preserve">Tarefa 3: Definir o agendamento do feed de dados</w:t>
        </w:r>
      </w:hyperlink>
    </w:p>
    <w:bookmarkStart w:id="22" w:name="X09200154ca4bcabf9be034a723b7e1d1d39b6f4"/>
    <w:p>
      <w:pPr>
        <w:pStyle w:val="Heading2"/>
      </w:pPr>
      <w:r>
        <w:t xml:space="preserve">Tarefa 1: Adicionar um feed de dados de transporte</w:t>
      </w:r>
    </w:p>
    <w:p>
      <w:pPr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Integração &gt; Feeds de dados.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 novo feed de dados.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faça o seguinte:</w:t>
      </w:r>
    </w:p>
    <w:p>
      <w:pPr>
        <w:numPr>
          <w:ilvl w:val="1"/>
          <w:numId w:val="1004"/>
        </w:numPr>
      </w:pPr>
      <w:r>
        <w:t xml:space="preserve"> Insira o nome e a descrição do feed de dados.</w:t>
      </w:r>
      <w:r>
        <w:br/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alias é preenchido automaticamente quando você define o nome do feed de dados pela primeira vez e salva o feed de dados. Você pode modificar o alias depois de salvar o feed de dados. Os campos restantes na seção Informações gerais são somente leitura e são preenchidos quando o feed de dados é criado, atualizado e executado.</w:t>
      </w:r>
    </w:p>
    <w:p>
      <w:pPr>
        <w:pStyle w:val="Compact"/>
        <w:numPr>
          <w:ilvl w:val="1"/>
          <w:numId w:val="1004"/>
        </w:numPr>
      </w:pPr>
      <w:r>
        <w:t xml:space="preserve">Escolha</w:t>
      </w:r>
      <w:r>
        <w:t xml:space="preserve"> </w:t>
      </w:r>
      <w:r>
        <w:t xml:space="preserve">Selecionar</w:t>
      </w:r>
      <w:r>
        <w:t xml:space="preserve"> </w:t>
      </w:r>
      <w:r>
        <w:t xml:space="preserve">para tornar o feed de dados ativo.</w:t>
      </w:r>
    </w:p>
    <w:p>
      <w:pPr>
        <w:pStyle w:val="Compact"/>
        <w:numPr>
          <w:ilvl w:val="0"/>
          <w:numId w:val="1003"/>
        </w:numPr>
      </w:pPr>
      <w:r>
        <w:t xml:space="preserve">Na seção Informações do feed, faça o seguinte:</w:t>
      </w:r>
    </w:p>
    <w:p>
      <w:pPr>
        <w:pStyle w:val="Compact"/>
        <w:numPr>
          <w:ilvl w:val="1"/>
          <w:numId w:val="1005"/>
        </w:numPr>
      </w:pPr>
      <w:r>
        <w:t xml:space="preserve">No campo Tipo de feed, selecione Somente transporte. Consulte Adicionando feeds de dados padrão para adicionar um feed de dados padrão.</w:t>
      </w:r>
    </w:p>
    <w:p>
      <w:pPr>
        <w:pStyle w:val="Compact"/>
        <w:numPr>
          <w:ilvl w:val="1"/>
          <w:numId w:val="1005"/>
        </w:numPr>
      </w:pPr>
      <w:r>
        <w:t xml:space="preserve">No campo Caminho de destino, digite o caminho do diretório no qual os dados do arquivo de origem exportado são salvos.</w:t>
      </w:r>
    </w:p>
    <w:p>
      <w:pPr>
        <w:pStyle w:val="Compact"/>
        <w:numPr>
          <w:ilvl w:val="1"/>
          <w:numId w:val="1005"/>
        </w:numPr>
      </w:pPr>
      <w:r>
        <w:t xml:space="preserve">No campo Nome da conta de serviço, digite a conta de usuário associada ao feed de dados. Se o usuário não existir, você poderá criar um novo usuário. Digite o nome de usuário. Consulte</w:t>
      </w:r>
      <w:r>
        <w:t xml:space="preserve"> </w:t>
      </w:r>
      <w:hyperlink r:id="rId21">
        <w:r>
          <w:rPr>
            <w:rStyle w:val="Hyperlink"/>
          </w:rPr>
          <w:t xml:space="preserve">Conta de serviço de feeds de dados</w:t>
        </w:r>
      </w:hyperlink>
      <w:r>
        <w:t xml:space="preserve"> </w:t>
      </w:r>
      <w:r>
        <w:t xml:space="preserve">para obter mais informações sobre o Nome da conta de serviço.</w:t>
      </w:r>
    </w:p>
    <w:p>
      <w:pPr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o feed mais tarde, clique em Salvar ou Salvar e fechar.</w:t>
      </w:r>
    </w:p>
    <w:bookmarkEnd w:id="22"/>
    <w:bookmarkStart w:id="25" w:name="Tarefa2Definirométododetransporte"/>
    <w:p>
      <w:pPr>
        <w:pStyle w:val="Heading2"/>
      </w:pPr>
      <w:r>
        <w:t xml:space="preserve">Tarefa 2: Definir o método de transporte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Para que o feed de dados seja executado com sucesso, o servidor responsável pela execução do feed de dados precisa ter o acesso à rede necessária para o banco de dados.</w:t>
      </w:r>
    </w:p>
    <w:p>
      <w:pPr>
        <w:numPr>
          <w:ilvl w:val="0"/>
          <w:numId w:val="1007"/>
        </w:numPr>
      </w:pPr>
      <w:r>
        <w:t xml:space="preserve">Vá para a guia Conexão de origem do feed de dados.</w:t>
      </w:r>
    </w:p>
    <w:p>
      <w:pPr>
        <w:pStyle w:val="Compact"/>
        <w:numPr>
          <w:ilvl w:val="0"/>
          <w:numId w:val="1007"/>
        </w:numPr>
      </w:pPr>
      <w:r>
        <w:t xml:space="preserve">Na lista Local de origem, selecione um local.</w:t>
      </w:r>
    </w:p>
    <w:p>
      <w:pPr>
        <w:pStyle w:val="Compact"/>
        <w:numPr>
          <w:ilvl w:val="0"/>
          <w:numId w:val="1007"/>
        </w:numPr>
      </w:pPr>
      <w:r>
        <w:t xml:space="preserve">Na lista Método de transporte, selecione um tipo de transporte.</w:t>
      </w:r>
    </w:p>
    <w:p>
      <w:pPr>
        <w:numPr>
          <w:ilvl w:val="0"/>
          <w:numId w:val="1007"/>
        </w:numPr>
      </w:pPr>
      <w:r>
        <w:t xml:space="preserve">Na seção Configuração do banco de dados, conclua as opções de configuração.</w:t>
      </w:r>
    </w:p>
    <w:p>
      <w:pPr>
        <w:numPr>
          <w:ilvl w:val="0"/>
          <w:numId w:val="1000"/>
        </w:numPr>
      </w:pPr>
      <w:r>
        <w:t xml:space="preserve">Preencha os campos Nome de usuário e Senha para especificar as credenciais de uma conta que consulta o banco de dados, apenas se String de conexão não incluir credenciais.</w:t>
      </w:r>
    </w:p>
    <w:p>
      <w:pPr>
        <w:pStyle w:val="Compact"/>
      </w:pPr>
      <w:r>
        <w:t xml:space="preserve">A tabela a seguir descreve as opções.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Provider</w:t>
            </w:r>
          </w:p>
        </w:tc>
        <w:tc>
          <w:tcPr/>
          <w:p>
            <w:pPr>
              <w:pStyle w:val="BodyText"/>
            </w:pPr>
            <w:r>
              <w:t xml:space="preserve">Especifica o provedor de dados com base no tipo de string de conexão utilizado.</w:t>
            </w:r>
          </w:p>
          <w:p>
            <w:pPr>
              <w:pStyle w:val="BodyText"/>
            </w:pPr>
            <w:r>
              <w:t xml:space="preserve">Se o Oracle dotConnect for o provedor de dados, você deverá instalar os drivers para o Oracle porque esses drivers não estão incluídos na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instalação. Para determinar a string de conexão para este provedor de dados, vá para a seguinte URL:</w:t>
            </w:r>
            <w:r>
              <w:br/>
            </w:r>
            <w:hyperlink r:id="rId23">
              <w:r>
                <w:rPr>
                  <w:rStyle w:val="Hyperlink"/>
                </w:rPr>
                <w:t xml:space="preserve">http://www.devart.com/dotconnect/oracle/docs/Devart.Data.Oracle~</w:t>
              </w:r>
              <w:r>
                <w:br/>
              </w:r>
              <w:r>
                <w:rPr>
                  <w:rStyle w:val="Hyperlink"/>
                </w:rPr>
                <w:t xml:space="preserve">Devart.Data.Oracle.OracleConnection~ConnectionString.html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Timeout de conexão</w:t>
            </w:r>
          </w:p>
        </w:tc>
        <w:tc>
          <w:tcPr/>
          <w:p>
            <w:pPr>
              <w:pStyle w:val="BodyText"/>
            </w:pPr>
            <w:r>
              <w:t xml:space="preserve">Especifica o parâmetro de timeout em segundos para forçar a falha do feed em consultas de longa execução.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String de conexão</w:t>
            </w:r>
          </w:p>
        </w:tc>
        <w:tc>
          <w:tcPr/>
          <w:p>
            <w:pPr>
              <w:pStyle w:val="BodyText"/>
            </w:pPr>
            <w:r>
              <w:t xml:space="preserve">Permite que o feed de dados localize e acesse o banco de dados e recupere os dados de origem especificados.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Consultar</w:t>
            </w:r>
          </w:p>
        </w:tc>
        <w:tc>
          <w:tcPr/>
          <w:p>
            <w:pPr>
              <w:pStyle w:val="BodyText"/>
            </w:pPr>
            <w:r>
              <w:t xml:space="preserve">Especifica a consulta executada no banco de dados. Esse campo não pode ter mais de 4.000 caracteres.</w:t>
            </w:r>
          </w:p>
          <w:p>
            <w:pPr>
              <w:pStyle w:val="BodyText"/>
            </w:pPr>
            <w:r>
              <w:t xml:space="preserve">Você também pode executar um procedimento armazenado, como o exemplo na figura a seguir, informando-o no campo Consulta.</w:t>
            </w:r>
          </w:p>
          <w:p>
            <w:pPr>
              <w:pStyle w:val="BodyText"/>
            </w:pPr>
            <w:r>
              <w:t xml:space="preserve">Ou lógica do operador</w:t>
            </w:r>
          </w:p>
          <w:p>
            <w:pPr>
              <w:pStyle w:val="BodyText"/>
            </w:pPr>
            <w:r>
              <w:t xml:space="preserve">Entre em contato com o administrador do banco de dados antes de executar qualquer consulta dos dados corporativos da sua empresa. Se você configurar a string de consulta de forma incorreta, poderá alterar os dados armazenados no banco de dados.</w:t>
            </w:r>
            <w:r>
              <w:br/>
            </w:r>
            <w:r>
              <w:t xml:space="preserve">Sempre verifique seus resultados executando manualmente antes a consulta, diretamente no banco de dados.</w:t>
            </w:r>
          </w:p>
        </w:tc>
      </w:tr>
    </w:tbl>
    <w:p>
      <w:pPr>
        <w:numPr>
          <w:ilvl w:val="0"/>
          <w:numId w:val="1007"/>
        </w:numPr>
      </w:pPr>
      <w:r>
        <w:t xml:space="preserve">(Opcional) O feed de dados cria uma cópia local dos dados de origem para processamento posterior. Na seção Pós-processamento - Cópia local do arquivo de origem, selecione uma das opções a seguir para especificar como o feed de dados lida com a cópia local dos dados de origem após o processamento dos dados de origem.</w:t>
      </w:r>
    </w:p>
    <w:p>
      <w:pPr>
        <w:pStyle w:val="TableCaption"/>
      </w:pPr>
      <w:r>
        <w:t xml:space="preserve">A tabela a seguir descreve as opções de pós-processamento da cópia local dos dados de origem.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opções de pós-processamento da cópia local dos dados de origem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Excluir</w:t>
            </w:r>
          </w:p>
        </w:tc>
        <w:tc>
          <w:tcPr/>
          <w:p>
            <w:pPr>
              <w:pStyle w:val="BodyText"/>
            </w:pPr>
            <w:r>
              <w:t xml:space="preserve">Exclui o arquivo de origem quando o feed de dados conclui a operação com sucesso. O feed de dados também exclui qualquer cópia local das informações de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Renomear</w:t>
            </w:r>
          </w:p>
        </w:tc>
        <w:tc>
          <w:tcPr/>
          <w:p>
            <w:pPr>
              <w:pStyle w:val="BodyText"/>
            </w:pPr>
            <w:r>
              <w:t xml:space="preserve">Salva o arquivo de origem com um novo nome quando o alimentador de dados conclui a operação com sucesso. Em Caminho e nome do arquivo, especifique o novo nome do arquivo e o local para salvá-lo.</w:t>
            </w:r>
          </w:p>
          <w:p>
            <w:pPr>
              <w:pStyle w:val="BodyText"/>
            </w:pPr>
            <w:r>
              <w:t xml:space="preserve">Para salvar os dados, verifique se a conta que está executando o serviço Mecanismo de trabalho pode acessar o caminho do arquivo de destino.</w:t>
            </w:r>
          </w:p>
          <w:p>
            <w:pPr>
              <w:pStyle w:val="BodyText"/>
            </w:pPr>
            <w:r>
              <w:t xml:space="preserve">Se você selecionar essa opção, use os tokens de nome de arquivo para especificar o local ou o nome do arquivo.</w:t>
            </w:r>
          </w:p>
          <w:p>
            <w:pPr>
              <w:pStyle w:val="Heading3"/>
            </w:pPr>
            <w:bookmarkStart w:id="24" w:name="Tokensdenomedearquivo"/>
            <w:r>
              <w:t xml:space="preserve">Tokens de nome de arquivo</w:t>
            </w:r>
            <w:bookmarkEnd w:id="24"/>
          </w:p>
          <w:p>
            <w:pPr>
              <w:pStyle w:val="FirstParagraph"/>
            </w:pPr>
            <w:r>
              <w:t xml:space="preserve">Filename tokens are available for post processing when you want to save the source information and specify a location or name for the file. When you select the Rename option, you can use tokens to generate unique names automatically for the files.</w:t>
            </w:r>
          </w:p>
          <w:p>
            <w:pPr>
              <w:pStyle w:val="BodyText"/>
            </w:pPr>
            <w:r>
              <w:t xml:space="preserve">Here are the usable tokens for renaming data files.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Now. Insert a user-defined date format within the new filename. Possible formats include Now(MM/dd/yyyy) or Now(MM-dd-yyyy). See the Microsoft .Net Framework Developer Center for available custom date/time formats.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DataFileDirectoryName. Update the filename with the directory name, including the drive, of your file.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DataFileName. Insert the original filename, excluding the directory name and extension.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DataFileExtension. Insert the file extension, such as .csv, in the new filename.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DataFileFullName. Insert the fully qualified filename. This data includes the drive, directory, filename, and extension of the original file.</w:t>
            </w:r>
          </w:p>
          <w:p>
            <w:pPr>
              <w:pStyle w:val="FirstParagraph"/>
            </w:pPr>
            <w:r>
              <w:t xml:space="preserve">For example, if the data file came from the following location, C:\DataFeed\Source\ESL\processed\ThreatData.csv, any files renamed using tokens provide the following output.</w:t>
            </w:r>
          </w:p>
          <w:p>
            <w:pPr>
              <w:pStyle w:val="BodyText"/>
            </w:pPr>
            <w:r>
              <w:t xml:space="preserve">Example 1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Input Tokens: {DataFileDirectoryName}\success\{DataFileName}_{Now(MM.dd.yyyy)}.{DataFileExtension}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Output: C:\DataFeed\Source\ESL\processed\success\ThreatData_01.31.2008.csv</w:t>
            </w:r>
          </w:p>
          <w:p>
            <w:pPr>
              <w:pStyle w:val="FirstParagraph"/>
            </w:pPr>
            <w:r>
              <w:t xml:space="preserve">Example 2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Input Tokens: \\DFSRepository\{Now(yyyy)}\{Now(MM)}\{DataFileName}_success.{DataFileExtension}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Output: \\DFSRepository\2008\01\ThreatData_success.csv</w:t>
            </w:r>
          </w:p>
        </w:tc>
      </w:tr>
    </w:tbl>
    <w:p>
      <w:pPr>
        <w:numPr>
          <w:ilvl w:val="0"/>
          <w:numId w:val="1007"/>
        </w:numPr>
      </w:pPr>
      <w:r>
        <w:t xml:space="preserve">Se você selecionou a opção Renomear pós-processamento, digite o local e o nome do novo arquivo que deseja salvar no Caminho do arquivo e no campo Nome.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1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1"/>
        </w:numPr>
      </w:pPr>
      <w:r>
        <w:t xml:space="preserve">Para terminar de configurar o feed mais tarde, clique em Salvar ou Salvar e fechar.</w:t>
      </w:r>
    </w:p>
    <w:bookmarkEnd w:id="25"/>
    <w:bookmarkStart w:id="26" w:name="Tarefa3Definiroagendamentodofeeddedados"/>
    <w:p>
      <w:pPr>
        <w:pStyle w:val="Heading2"/>
      </w:pPr>
      <w:r>
        <w:t xml:space="preserve">Tarefa 3: Definir o agendamento do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 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também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</w:t>
      </w:r>
    </w:p>
    <w:p>
      <w:pPr>
        <w:pStyle w:val="BodyText"/>
      </w:pPr>
      <w:r>
        <w:t xml:space="preserve">Um feed de referência permite que você especifique outro feed. Isso indica ao Serviço de feed de dados que esse feed começará a ser executado assim que o feed de referência for concluído com sucesso. Uma execução de feed de dados bem-sucedida processa todos os dados de entrada, conclui todas as atualizações de registro esperadas e não relata nenhuma falha no relatório Detalhes da execução.</w:t>
      </w:r>
    </w:p>
    <w:p>
      <w:pPr>
        <w:numPr>
          <w:ilvl w:val="0"/>
          <w:numId w:val="1012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2"/>
        </w:numPr>
      </w:pPr>
      <w:r>
        <w:t xml:space="preserve">Siga um destes procedimentos para agendar seu feed de dados.</w:t>
      </w:r>
    </w:p>
    <w:p>
      <w:pPr>
        <w:numPr>
          <w:ilvl w:val="0"/>
          <w:numId w:val="1000"/>
        </w:numPr>
      </w:pPr>
      <w:r>
        <w:t xml:space="preserve">Executar dentro do programado</w:t>
      </w:r>
    </w:p>
    <w:p>
      <w:pPr>
        <w:numPr>
          <w:ilvl w:val="0"/>
          <w:numId w:val="1000"/>
        </w:numPr>
      </w:pPr>
      <w:r>
        <w:t xml:space="preserve">Você pode configurar o feed de dados para ser executado em uma programação definida.</w:t>
      </w:r>
    </w:p>
    <w:p>
      <w:pPr>
        <w:pStyle w:val="TableCaption"/>
      </w:pPr>
      <w:r>
        <w:t xml:space="preserve">A tabela a seguir descreve os campos na opção Executar dentro do programado.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ampos na opção Executar dentro do program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de início</w:t>
            </w:r>
          </w:p>
        </w:tc>
        <w:tc>
          <w:tcPr/>
          <w:p>
            <w:pPr>
              <w:pStyle w:val="BodyText"/>
            </w:pPr>
            <w:r>
              <w:t xml:space="preserve">Especifica a data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 de início</w:t>
            </w:r>
          </w:p>
        </w:tc>
        <w:tc>
          <w:tcPr/>
          <w:p>
            <w:pPr>
              <w:pStyle w:val="BodyText"/>
            </w:pPr>
            <w:r>
              <w:t xml:space="preserve">Especifica a hora de início da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Especifica o fuso horário de início do agendamento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Recurring</w:t>
            </w:r>
          </w:p>
        </w:tc>
        <w:tc>
          <w:tcPr/>
          <w:p>
            <w:pPr>
              <w:pStyle w:val="BodyText"/>
            </w:pPr>
            <w:r>
              <w:t xml:space="preserve">Especifica o intervalo de execução do feed de dados, por exemplo, A cada minuto, Por hora, Diariamente, Semanalmente ou Mensalmente.</w:t>
            </w:r>
          </w:p>
          <w:p>
            <w:pPr>
              <w:numPr>
                <w:ilvl w:val="0"/>
                <w:numId w:val="1013"/>
              </w:numPr>
            </w:pPr>
            <w:r>
              <w:t xml:space="preserve">A cada minuto. Executa o feed de dados conforme o intervalo definido.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Por exemplo, se você especificar 45 na lista A cada, o feed de dados será executado a cada 45 minutos.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A cada hora. Executa o feed de dados conforme o intervalo definido, por exemplo, a cada hora (1), em horas alternadas (2)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Diariamente. Executa o feed de dados conforme o intervalo definido, por exemplo, todos os dias (1), em dias alternados (2)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Semanalmente. Executa o feed de dados com base em um dia especificado da semana, por exemplo, quinzenalmente às segundas-feiras (2), a cada três segundas-feiras (3) etc.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Mensalmente. Executa o feed de dados com base em uma semana específica do mês, por exemplo, na primeira segunda-feira de cada mês, na segunda terça-feira de cada terceiro mês e assim por diante.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Cada</w:t>
            </w:r>
          </w:p>
        </w:tc>
        <w:tc>
          <w:tcPr/>
          <w:p>
            <w:pPr>
              <w:pStyle w:val="BodyText"/>
            </w:pPr>
            <w:r>
              <w:t xml:space="preserve">Especifica o intervalo da frequência de execução do feed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Especifica a frequência dos dias da semana em que o feed de dados é executado.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 da semana</w:t>
            </w:r>
          </w:p>
        </w:tc>
        <w:tc>
          <w:tcPr/>
          <w:p>
            <w:pPr>
              <w:pStyle w:val="BodyText"/>
            </w:pPr>
            <w:r>
              <w:t xml:space="preserve">Especifica os dias da semana em que o feed de dados é executado.</w:t>
            </w:r>
          </w:p>
        </w:tc>
      </w:tr>
    </w:tbl>
    <w:p>
      <w:pPr>
        <w:numPr>
          <w:ilvl w:val="0"/>
          <w:numId w:val="1000"/>
        </w:numPr>
      </w:pPr>
      <w:r>
        <w:t xml:space="preserve">Executar depois</w:t>
      </w:r>
    </w:p>
    <w:p>
      <w:pPr>
        <w:numPr>
          <w:ilvl w:val="0"/>
          <w:numId w:val="1000"/>
        </w:numPr>
      </w:pPr>
      <w:r>
        <w:t xml:space="preserve">Executa um feed de dados especificado antes da execução atual. O serviço de feed de dados inicia o feed de dados atual depois que o feed de dados referenciado é concluído com sucesso.</w:t>
      </w:r>
    </w:p>
    <w:p>
      <w:pPr>
        <w:numPr>
          <w:ilvl w:val="0"/>
          <w:numId w:val="1000"/>
        </w:numPr>
      </w:pPr>
      <w:r>
        <w:t xml:space="preserve">Por exemplo, você pode determinar que a execução do feed de dados de ameaças ocorra imediatamente após o término do feed de dados de ativos. No menu suspenso Feed de referência, selecione o feed de dados que é executado antes do feed de dados atual.</w:t>
      </w:r>
    </w:p>
    <w:p>
      <w:pPr>
        <w:numPr>
          <w:ilvl w:val="0"/>
          <w:numId w:val="1000"/>
        </w:numPr>
      </w:pPr>
      <w:r>
        <w:t xml:space="preserve">Executar agora</w:t>
      </w:r>
    </w:p>
    <w:p>
      <w:pPr>
        <w:numPr>
          <w:ilvl w:val="0"/>
          <w:numId w:val="1000"/>
        </w:numPr>
      </w:pPr>
      <w:r>
        <w:t xml:space="preserve">Clique no botão Executar agora na barra de ferramentas da página Gerenciar feed de dados para executar o feed de dados manualmente.</w:t>
      </w:r>
    </w:p>
    <w:p>
      <w:pPr>
        <w:numPr>
          <w:ilvl w:val="0"/>
          <w:numId w:val="1012"/>
        </w:numPr>
      </w:pPr>
      <w:r>
        <w:t xml:space="preserve">Para salvar o feed de dados, clique em Salvar ou Salvar e fechar.</w:t>
      </w:r>
    </w:p>
    <w:p>
      <w:pPr>
        <w:numPr>
          <w:ilvl w:val="0"/>
          <w:numId w:val="101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4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4"/>
        </w:numPr>
      </w:pPr>
      <w:r>
        <w:t xml:space="preserve">Para terminar de configurar o feed mais tarde, clique em Salvar ou Salvar e fechar.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devart.com/dotconnect/oracle/docs/Devart.Data.Oracle~Devart.Data.Oracle.OracleConnection~ConnectionString.html" TargetMode="External" /><Relationship Type="http://schemas.openxmlformats.org/officeDocument/2006/relationships/hyperlink" Id="rId21" Target="int_dfm_basics.htm#Data_feed_service_us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www.devart.com/dotconnect/oracle/docs/Devart.Data.Oracle~Devart.Data.Oracle.OracleConnection~ConnectionString.html" TargetMode="External" /><Relationship Type="http://schemas.openxmlformats.org/officeDocument/2006/relationships/hyperlink" Id="rId21" Target="int_dfm_basics.htm#Data_feed_service_us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2025-02-19T20:14:21Z</dcterms:created>
  <dcterms:modified xsi:type="dcterms:W3CDTF">2025-02-19T20:14:21Z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